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5B" w:rsidRPr="0092555B" w:rsidRDefault="0092555B" w:rsidP="0092555B">
      <w:pPr>
        <w:bidi/>
      </w:pPr>
      <w:r w:rsidRPr="0092555B">
        <w:rPr>
          <w:b/>
          <w:bCs/>
          <w:rtl/>
          <w:lang w:bidi="ar-DZ"/>
        </w:rPr>
        <w:t>1</w:t>
      </w:r>
      <w:bookmarkStart w:id="0" w:name="_GoBack"/>
      <w:bookmarkEnd w:id="0"/>
      <w:r w:rsidRPr="0092555B">
        <w:rPr>
          <w:b/>
          <w:bCs/>
          <w:rtl/>
          <w:lang w:bidi="ar-DZ"/>
        </w:rPr>
        <w:t xml:space="preserve">-1تعريف </w:t>
      </w:r>
      <w:proofErr w:type="gramStart"/>
      <w:r w:rsidRPr="0092555B">
        <w:rPr>
          <w:b/>
          <w:bCs/>
          <w:rtl/>
          <w:lang w:bidi="ar-DZ"/>
        </w:rPr>
        <w:t>النقد :</w:t>
      </w:r>
      <w:proofErr w:type="gramEnd"/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 xml:space="preserve">النقد  خطاب إنشائي ثان، هو خطاب </w:t>
      </w:r>
      <w:proofErr w:type="spellStart"/>
      <w:r w:rsidRPr="0092555B">
        <w:rPr>
          <w:rtl/>
          <w:lang w:bidi="ar-DZ"/>
        </w:rPr>
        <w:t>واصف،على</w:t>
      </w:r>
      <w:proofErr w:type="spellEnd"/>
      <w:r w:rsidRPr="0092555B">
        <w:rPr>
          <w:rtl/>
          <w:lang w:bidi="ar-DZ"/>
        </w:rPr>
        <w:t xml:space="preserve"> خطاب إبداعي </w:t>
      </w:r>
      <w:proofErr w:type="spellStart"/>
      <w:r w:rsidRPr="0092555B">
        <w:rPr>
          <w:rtl/>
          <w:lang w:bidi="ar-DZ"/>
        </w:rPr>
        <w:t>أوّل،لو</w:t>
      </w:r>
      <w:proofErr w:type="spellEnd"/>
      <w:r w:rsidRPr="0092555B">
        <w:rPr>
          <w:rtl/>
          <w:lang w:bidi="ar-DZ"/>
        </w:rPr>
        <w:t xml:space="preserve"> نراجع أحد القواميس للنظر في </w:t>
      </w:r>
      <w:proofErr w:type="spellStart"/>
      <w:r w:rsidRPr="0092555B">
        <w:rPr>
          <w:rtl/>
          <w:lang w:bidi="ar-DZ"/>
        </w:rPr>
        <w:t>تحديده</w:t>
      </w:r>
      <w:proofErr w:type="gramStart"/>
      <w:r w:rsidRPr="0092555B">
        <w:rPr>
          <w:rtl/>
          <w:lang w:bidi="ar-DZ"/>
        </w:rPr>
        <w:t>،ف</w:t>
      </w:r>
      <w:proofErr w:type="gramEnd"/>
      <w:r w:rsidRPr="0092555B">
        <w:rPr>
          <w:rtl/>
          <w:lang w:bidi="ar-DZ"/>
        </w:rPr>
        <w:t>إنّه</w:t>
      </w:r>
      <w:proofErr w:type="spellEnd"/>
      <w:r w:rsidRPr="0092555B">
        <w:rPr>
          <w:rtl/>
          <w:lang w:bidi="ar-DZ"/>
        </w:rPr>
        <w:t xml:space="preserve"> يطالعنا -على سبيل المثال لا الحصر – المعجم المفصل في الأدب </w:t>
      </w:r>
      <w:proofErr w:type="spellStart"/>
      <w:r w:rsidRPr="0092555B">
        <w:rPr>
          <w:rtl/>
          <w:lang w:bidi="ar-DZ"/>
        </w:rPr>
        <w:t>بقوله:«النقد</w:t>
      </w:r>
      <w:proofErr w:type="spellEnd"/>
      <w:r w:rsidRPr="0092555B">
        <w:rPr>
          <w:rtl/>
          <w:lang w:bidi="ar-DZ"/>
        </w:rPr>
        <w:t xml:space="preserve"> في </w:t>
      </w:r>
      <w:proofErr w:type="spellStart"/>
      <w:r w:rsidRPr="0092555B">
        <w:rPr>
          <w:rtl/>
          <w:lang w:bidi="ar-DZ"/>
        </w:rPr>
        <w:t>الأدب:عبارة</w:t>
      </w:r>
      <w:proofErr w:type="spellEnd"/>
      <w:r w:rsidRPr="0092555B">
        <w:rPr>
          <w:rtl/>
          <w:lang w:bidi="ar-DZ"/>
        </w:rPr>
        <w:t xml:space="preserve"> </w:t>
      </w:r>
      <w:proofErr w:type="spellStart"/>
      <w:r w:rsidRPr="0092555B">
        <w:rPr>
          <w:rtl/>
          <w:lang w:bidi="ar-DZ"/>
        </w:rPr>
        <w:t>قديمة،ذكرها</w:t>
      </w:r>
      <w:proofErr w:type="spellEnd"/>
      <w:r w:rsidRPr="0092555B">
        <w:rPr>
          <w:rtl/>
          <w:lang w:bidi="ar-DZ"/>
        </w:rPr>
        <w:t xml:space="preserve"> الزمخشري (ت538ه)،وكانت معروفة قبل عصره بقرنيين من </w:t>
      </w:r>
      <w:proofErr w:type="spellStart"/>
      <w:r w:rsidRPr="0092555B">
        <w:rPr>
          <w:rtl/>
          <w:lang w:bidi="ar-DZ"/>
        </w:rPr>
        <w:t>الزمان؛فابنُ</w:t>
      </w:r>
      <w:proofErr w:type="spellEnd"/>
      <w:r w:rsidRPr="0092555B">
        <w:rPr>
          <w:rtl/>
          <w:lang w:bidi="ar-DZ"/>
        </w:rPr>
        <w:t xml:space="preserve"> قدامة ألف "نقد الشعر"(ت337 ه)(...) ونلاحظ أنّ نقد الشعر ونقد النثر ونقد الأدب اصطلاحات عرفت في كتب الأدب والنقد قبل ظهور المعاجم،(...)فنقد الأدب </w:t>
      </w:r>
      <w:proofErr w:type="spellStart"/>
      <w:r w:rsidRPr="0092555B">
        <w:rPr>
          <w:rtl/>
          <w:lang w:bidi="ar-DZ"/>
        </w:rPr>
        <w:t>تناوله،ودراسته</w:t>
      </w:r>
      <w:proofErr w:type="spellEnd"/>
      <w:r w:rsidRPr="0092555B">
        <w:rPr>
          <w:rtl/>
          <w:lang w:bidi="ar-DZ"/>
        </w:rPr>
        <w:t xml:space="preserve"> والنظر </w:t>
      </w:r>
      <w:proofErr w:type="spellStart"/>
      <w:r w:rsidRPr="0092555B">
        <w:rPr>
          <w:rtl/>
          <w:lang w:bidi="ar-DZ"/>
        </w:rPr>
        <w:t>فيه،ومناقشة</w:t>
      </w:r>
      <w:proofErr w:type="spellEnd"/>
      <w:r w:rsidRPr="0092555B">
        <w:rPr>
          <w:rtl/>
          <w:lang w:bidi="ar-DZ"/>
        </w:rPr>
        <w:t xml:space="preserve"> النصّ </w:t>
      </w:r>
      <w:proofErr w:type="spellStart"/>
      <w:r w:rsidRPr="0092555B">
        <w:rPr>
          <w:rtl/>
          <w:lang w:bidi="ar-DZ"/>
        </w:rPr>
        <w:t>الأدبي،واستخلاص</w:t>
      </w:r>
      <w:proofErr w:type="spellEnd"/>
      <w:r w:rsidRPr="0092555B">
        <w:rPr>
          <w:rtl/>
          <w:lang w:bidi="ar-DZ"/>
        </w:rPr>
        <w:t xml:space="preserve"> عناصر الجمال التي سما </w:t>
      </w:r>
      <w:proofErr w:type="spellStart"/>
      <w:r w:rsidRPr="0092555B">
        <w:rPr>
          <w:rtl/>
          <w:lang w:bidi="ar-DZ"/>
        </w:rPr>
        <w:t>بها،وسمات</w:t>
      </w:r>
      <w:proofErr w:type="spellEnd"/>
      <w:r w:rsidRPr="0092555B">
        <w:rPr>
          <w:rtl/>
          <w:lang w:bidi="ar-DZ"/>
        </w:rPr>
        <w:t xml:space="preserve"> القبح التي اتّضع بها. »</w:t>
      </w:r>
      <w:bookmarkStart w:id="1" w:name="_ftnref1"/>
      <w:r w:rsidRPr="0092555B">
        <w:t>[1]</w:t>
      </w:r>
      <w:bookmarkEnd w:id="1"/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 xml:space="preserve">مفاد هذا القول أنّ النقد كممارسة نظر ومراجعة حول </w:t>
      </w:r>
      <w:proofErr w:type="spellStart"/>
      <w:r w:rsidRPr="0092555B">
        <w:rPr>
          <w:rtl/>
          <w:lang w:bidi="ar-DZ"/>
        </w:rPr>
        <w:t>النصوص،قديمة</w:t>
      </w:r>
      <w:proofErr w:type="spellEnd"/>
      <w:r w:rsidRPr="0092555B">
        <w:rPr>
          <w:rtl/>
          <w:lang w:bidi="ar-DZ"/>
        </w:rPr>
        <w:t xml:space="preserve"> عند </w:t>
      </w:r>
      <w:proofErr w:type="spellStart"/>
      <w:r w:rsidRPr="0092555B">
        <w:rPr>
          <w:rtl/>
          <w:lang w:bidi="ar-DZ"/>
        </w:rPr>
        <w:t>العرب،عُرفت</w:t>
      </w:r>
      <w:proofErr w:type="spellEnd"/>
      <w:r w:rsidRPr="0092555B">
        <w:rPr>
          <w:rtl/>
          <w:lang w:bidi="ar-DZ"/>
        </w:rPr>
        <w:t xml:space="preserve"> حتى قبل أن تستقر اللفظة في </w:t>
      </w:r>
      <w:proofErr w:type="spellStart"/>
      <w:r w:rsidRPr="0092555B">
        <w:rPr>
          <w:rtl/>
          <w:lang w:bidi="ar-DZ"/>
        </w:rPr>
        <w:t>المعاجم،ونلمس</w:t>
      </w:r>
      <w:proofErr w:type="spellEnd"/>
      <w:r w:rsidRPr="0092555B">
        <w:rPr>
          <w:rtl/>
          <w:lang w:bidi="ar-DZ"/>
        </w:rPr>
        <w:t xml:space="preserve"> تمييزا </w:t>
      </w:r>
      <w:proofErr w:type="spellStart"/>
      <w:r w:rsidRPr="0092555B">
        <w:rPr>
          <w:rtl/>
          <w:lang w:bidi="ar-DZ"/>
        </w:rPr>
        <w:t>أجناسيا</w:t>
      </w:r>
      <w:proofErr w:type="spellEnd"/>
      <w:r w:rsidRPr="0092555B">
        <w:rPr>
          <w:rtl/>
          <w:lang w:bidi="ar-DZ"/>
        </w:rPr>
        <w:t xml:space="preserve"> في التعريف بين نقد الشعر ونقد النثر .</w:t>
      </w:r>
      <w:proofErr w:type="gramStart"/>
      <w:r w:rsidRPr="0092555B">
        <w:rPr>
          <w:rtl/>
          <w:lang w:bidi="ar-DZ"/>
        </w:rPr>
        <w:t>فما</w:t>
      </w:r>
      <w:proofErr w:type="gramEnd"/>
      <w:r w:rsidRPr="0092555B">
        <w:rPr>
          <w:rtl/>
          <w:lang w:bidi="ar-DZ"/>
        </w:rPr>
        <w:t xml:space="preserve"> المقصود بالنثر؟</w:t>
      </w:r>
    </w:p>
    <w:p w:rsidR="0092555B" w:rsidRPr="0092555B" w:rsidRDefault="0092555B" w:rsidP="0092555B">
      <w:pPr>
        <w:bidi/>
        <w:rPr>
          <w:rtl/>
        </w:rPr>
      </w:pPr>
      <w:r w:rsidRPr="0092555B">
        <w:rPr>
          <w:b/>
          <w:bCs/>
          <w:rtl/>
          <w:lang w:bidi="ar-DZ"/>
        </w:rPr>
        <w:t xml:space="preserve">1-2تعريف </w:t>
      </w:r>
      <w:proofErr w:type="gramStart"/>
      <w:r w:rsidRPr="0092555B">
        <w:rPr>
          <w:b/>
          <w:bCs/>
          <w:rtl/>
          <w:lang w:bidi="ar-DZ"/>
        </w:rPr>
        <w:t>النثر :</w:t>
      </w:r>
      <w:proofErr w:type="gramEnd"/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 xml:space="preserve">عرف شوقي ضيف النثر  </w:t>
      </w:r>
      <w:proofErr w:type="spellStart"/>
      <w:r w:rsidRPr="0092555B">
        <w:rPr>
          <w:rtl/>
          <w:lang w:bidi="ar-DZ"/>
        </w:rPr>
        <w:t>قائلا:«النثر</w:t>
      </w:r>
      <w:proofErr w:type="spellEnd"/>
      <w:r w:rsidRPr="0092555B">
        <w:rPr>
          <w:rtl/>
          <w:lang w:bidi="ar-DZ"/>
        </w:rPr>
        <w:t xml:space="preserve"> هو الكلام الذي لم يُنْظَمْ في أوزان </w:t>
      </w:r>
      <w:proofErr w:type="spellStart"/>
      <w:r w:rsidRPr="0092555B">
        <w:rPr>
          <w:rtl/>
          <w:lang w:bidi="ar-DZ"/>
        </w:rPr>
        <w:t>وقواف،وهو</w:t>
      </w:r>
      <w:proofErr w:type="spellEnd"/>
      <w:r w:rsidRPr="0092555B">
        <w:rPr>
          <w:rtl/>
          <w:lang w:bidi="ar-DZ"/>
        </w:rPr>
        <w:t xml:space="preserve"> على </w:t>
      </w:r>
      <w:proofErr w:type="spellStart"/>
      <w:r w:rsidRPr="0092555B">
        <w:rPr>
          <w:rtl/>
          <w:lang w:bidi="ar-DZ"/>
        </w:rPr>
        <w:t>ضربين:أمّا</w:t>
      </w:r>
      <w:proofErr w:type="spellEnd"/>
      <w:r w:rsidRPr="0092555B">
        <w:rPr>
          <w:rtl/>
          <w:lang w:bidi="ar-DZ"/>
        </w:rPr>
        <w:t xml:space="preserve"> الضرب </w:t>
      </w:r>
      <w:proofErr w:type="spellStart"/>
      <w:r w:rsidRPr="0092555B">
        <w:rPr>
          <w:rtl/>
          <w:lang w:bidi="ar-DZ"/>
        </w:rPr>
        <w:t>الأوذل</w:t>
      </w:r>
      <w:proofErr w:type="spellEnd"/>
      <w:r w:rsidRPr="0092555B">
        <w:rPr>
          <w:rtl/>
          <w:lang w:bidi="ar-DZ"/>
        </w:rPr>
        <w:t xml:space="preserve"> فهو النثر العادي الذي يقال في لغة </w:t>
      </w:r>
      <w:proofErr w:type="spellStart"/>
      <w:r w:rsidRPr="0092555B">
        <w:rPr>
          <w:rtl/>
          <w:lang w:bidi="ar-DZ"/>
        </w:rPr>
        <w:t>التخاطب،وليست</w:t>
      </w:r>
      <w:proofErr w:type="spellEnd"/>
      <w:r w:rsidRPr="0092555B">
        <w:rPr>
          <w:rtl/>
          <w:lang w:bidi="ar-DZ"/>
        </w:rPr>
        <w:t xml:space="preserve"> لهذا الضرب قيمة أدبية إلاّ ما يجري فيه أحيانا من أمثال </w:t>
      </w:r>
      <w:proofErr w:type="spellStart"/>
      <w:r w:rsidRPr="0092555B">
        <w:rPr>
          <w:rtl/>
          <w:lang w:bidi="ar-DZ"/>
        </w:rPr>
        <w:t>وحِكَم،وأمّا</w:t>
      </w:r>
      <w:proofErr w:type="spellEnd"/>
      <w:r w:rsidRPr="0092555B">
        <w:rPr>
          <w:rtl/>
          <w:lang w:bidi="ar-DZ"/>
        </w:rPr>
        <w:t xml:space="preserve"> الضرب الثاني فهو النثر الذي يرتفع فيه أصحابه إلى لغة فيها فن ومهارة </w:t>
      </w:r>
      <w:proofErr w:type="spellStart"/>
      <w:r w:rsidRPr="0092555B">
        <w:rPr>
          <w:rtl/>
          <w:lang w:bidi="ar-DZ"/>
        </w:rPr>
        <w:t>وبلاغة،وهذا</w:t>
      </w:r>
      <w:proofErr w:type="spellEnd"/>
      <w:r w:rsidRPr="0092555B">
        <w:rPr>
          <w:rtl/>
          <w:lang w:bidi="ar-DZ"/>
        </w:rPr>
        <w:t xml:space="preserve"> هو الذي يُعنَى النقاد في اللّغات المختلفة ببحثه ودَرِسه وبيّان ما مرّ به من أحداث و </w:t>
      </w:r>
      <w:proofErr w:type="spellStart"/>
      <w:r w:rsidRPr="0092555B">
        <w:rPr>
          <w:rtl/>
          <w:lang w:bidi="ar-DZ"/>
        </w:rPr>
        <w:t>أطوار،وما</w:t>
      </w:r>
      <w:proofErr w:type="spellEnd"/>
      <w:r w:rsidRPr="0092555B">
        <w:rPr>
          <w:rtl/>
          <w:lang w:bidi="ar-DZ"/>
        </w:rPr>
        <w:t xml:space="preserve"> يمتاز به في كلّ طور ،وما يمتاز به في كلّ طور من صفات وخصائص .»</w:t>
      </w:r>
      <w:bookmarkStart w:id="2" w:name="_ftnref2"/>
      <w:r w:rsidRPr="0092555B">
        <w:rPr>
          <w:rtl/>
          <w:lang w:bidi="ar-DZ"/>
        </w:rPr>
        <w:fldChar w:fldCharType="begin"/>
      </w:r>
      <w:r w:rsidRPr="0092555B">
        <w:rPr>
          <w:rtl/>
          <w:lang w:bidi="ar-DZ"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"_ftn2" \o</w:instrText>
      </w:r>
      <w:r w:rsidRPr="0092555B">
        <w:rPr>
          <w:rtl/>
          <w:lang w:bidi="ar-DZ"/>
        </w:rPr>
        <w:instrText xml:space="preserve"> "" </w:instrText>
      </w:r>
      <w:r w:rsidRPr="0092555B">
        <w:rPr>
          <w:rtl/>
          <w:lang w:bidi="ar-DZ"/>
        </w:rPr>
        <w:fldChar w:fldCharType="separate"/>
      </w:r>
      <w:r w:rsidRPr="0092555B">
        <w:rPr>
          <w:rStyle w:val="Lienhypertexte"/>
        </w:rPr>
        <w:t>[2]</w:t>
      </w:r>
      <w:r w:rsidRPr="0092555B">
        <w:rPr>
          <w:rtl/>
        </w:rPr>
        <w:fldChar w:fldCharType="end"/>
      </w:r>
      <w:bookmarkEnd w:id="2"/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 xml:space="preserve">وإن كنا نرى القسم الأوّل الذي أشار إليه شوقي ضيف هو من فضول </w:t>
      </w:r>
      <w:proofErr w:type="spellStart"/>
      <w:r w:rsidRPr="0092555B">
        <w:rPr>
          <w:rtl/>
          <w:lang w:bidi="ar-DZ"/>
        </w:rPr>
        <w:t>الكلام،ولاقيمة</w:t>
      </w:r>
      <w:proofErr w:type="spellEnd"/>
      <w:r w:rsidRPr="0092555B">
        <w:rPr>
          <w:rtl/>
          <w:lang w:bidi="ar-DZ"/>
        </w:rPr>
        <w:t xml:space="preserve"> له فنيا غير التواصل </w:t>
      </w:r>
      <w:proofErr w:type="spellStart"/>
      <w:r w:rsidRPr="0092555B">
        <w:rPr>
          <w:rtl/>
          <w:lang w:bidi="ar-DZ"/>
        </w:rPr>
        <w:t>العادي،فإنّ</w:t>
      </w:r>
      <w:proofErr w:type="spellEnd"/>
      <w:r w:rsidRPr="0092555B">
        <w:rPr>
          <w:rtl/>
          <w:lang w:bidi="ar-DZ"/>
        </w:rPr>
        <w:t xml:space="preserve"> عِنايتنا ستمس القسم الثاني وهو النثر </w:t>
      </w:r>
      <w:proofErr w:type="spellStart"/>
      <w:r w:rsidRPr="0092555B">
        <w:rPr>
          <w:rtl/>
          <w:lang w:bidi="ar-DZ"/>
        </w:rPr>
        <w:t>الفنّي،الأدبي،وهو</w:t>
      </w:r>
      <w:proofErr w:type="spellEnd"/>
      <w:r w:rsidRPr="0092555B">
        <w:rPr>
          <w:rtl/>
          <w:lang w:bidi="ar-DZ"/>
        </w:rPr>
        <w:t xml:space="preserve"> من جنس </w:t>
      </w:r>
      <w:proofErr w:type="spellStart"/>
      <w:r w:rsidRPr="0092555B">
        <w:rPr>
          <w:rtl/>
          <w:lang w:bidi="ar-DZ"/>
        </w:rPr>
        <w:t>الكلام،الذي</w:t>
      </w:r>
      <w:proofErr w:type="spellEnd"/>
      <w:r w:rsidRPr="0092555B">
        <w:rPr>
          <w:rtl/>
          <w:lang w:bidi="ar-DZ"/>
        </w:rPr>
        <w:t xml:space="preserve"> يخلو من أوزان الشعر </w:t>
      </w:r>
      <w:proofErr w:type="spellStart"/>
      <w:r w:rsidRPr="0092555B">
        <w:rPr>
          <w:rtl/>
          <w:lang w:bidi="ar-DZ"/>
        </w:rPr>
        <w:t>وبحوره،ولا</w:t>
      </w:r>
      <w:proofErr w:type="spellEnd"/>
      <w:r w:rsidRPr="0092555B">
        <w:rPr>
          <w:rtl/>
          <w:lang w:bidi="ar-DZ"/>
        </w:rPr>
        <w:t xml:space="preserve"> يتألف وفق </w:t>
      </w:r>
      <w:proofErr w:type="spellStart"/>
      <w:r w:rsidRPr="0092555B">
        <w:rPr>
          <w:rtl/>
          <w:lang w:bidi="ar-DZ"/>
        </w:rPr>
        <w:t>قوافيه،وإنّما</w:t>
      </w:r>
      <w:proofErr w:type="spellEnd"/>
      <w:r w:rsidRPr="0092555B">
        <w:rPr>
          <w:rtl/>
          <w:lang w:bidi="ar-DZ"/>
        </w:rPr>
        <w:t xml:space="preserve"> يتوشح بإيقاع </w:t>
      </w:r>
      <w:proofErr w:type="spellStart"/>
      <w:r w:rsidRPr="0092555B">
        <w:rPr>
          <w:rtl/>
          <w:lang w:bidi="ar-DZ"/>
        </w:rPr>
        <w:t>داخلي،وبيان</w:t>
      </w:r>
      <w:proofErr w:type="spellEnd"/>
      <w:r w:rsidRPr="0092555B">
        <w:rPr>
          <w:rtl/>
          <w:lang w:bidi="ar-DZ"/>
        </w:rPr>
        <w:t xml:space="preserve"> يخلق </w:t>
      </w:r>
      <w:proofErr w:type="spellStart"/>
      <w:r w:rsidRPr="0092555B">
        <w:rPr>
          <w:rtl/>
          <w:lang w:bidi="ar-DZ"/>
        </w:rPr>
        <w:t>الانزياحات،يخرج</w:t>
      </w:r>
      <w:proofErr w:type="spellEnd"/>
      <w:r w:rsidRPr="0092555B">
        <w:rPr>
          <w:rtl/>
          <w:lang w:bidi="ar-DZ"/>
        </w:rPr>
        <w:t xml:space="preserve"> عن الكلام </w:t>
      </w:r>
      <w:proofErr w:type="spellStart"/>
      <w:r w:rsidRPr="0092555B">
        <w:rPr>
          <w:rtl/>
          <w:lang w:bidi="ar-DZ"/>
        </w:rPr>
        <w:t>العادي،ويسمو</w:t>
      </w:r>
      <w:proofErr w:type="spellEnd"/>
      <w:r w:rsidRPr="0092555B">
        <w:rPr>
          <w:rtl/>
          <w:lang w:bidi="ar-DZ"/>
        </w:rPr>
        <w:t xml:space="preserve"> عليه.</w:t>
      </w:r>
    </w:p>
    <w:p w:rsidR="0092555B" w:rsidRPr="0092555B" w:rsidRDefault="0092555B" w:rsidP="0092555B">
      <w:pPr>
        <w:bidi/>
        <w:rPr>
          <w:rtl/>
        </w:rPr>
      </w:pPr>
      <w:proofErr w:type="gramStart"/>
      <w:r w:rsidRPr="0092555B">
        <w:rPr>
          <w:rtl/>
          <w:lang w:bidi="ar-DZ"/>
        </w:rPr>
        <w:t>تجدر</w:t>
      </w:r>
      <w:proofErr w:type="gramEnd"/>
      <w:r w:rsidRPr="0092555B">
        <w:rPr>
          <w:rtl/>
          <w:lang w:bidi="ar-DZ"/>
        </w:rPr>
        <w:t xml:space="preserve"> الإشارة إلى أنّ النوع هو مقولة من مقولات أرسطو في بيان كليات التعريف .حيث ينقسم الأدب </w:t>
      </w:r>
      <w:proofErr w:type="gramStart"/>
      <w:r w:rsidRPr="0092555B">
        <w:rPr>
          <w:rtl/>
          <w:lang w:bidi="ar-DZ"/>
        </w:rPr>
        <w:t>إلى</w:t>
      </w:r>
      <w:proofErr w:type="gramEnd"/>
      <w:r w:rsidRPr="0092555B">
        <w:rPr>
          <w:rtl/>
          <w:lang w:bidi="ar-DZ"/>
        </w:rPr>
        <w:t xml:space="preserve"> جنس الشعر وجنس </w:t>
      </w:r>
      <w:proofErr w:type="spellStart"/>
      <w:r w:rsidRPr="0092555B">
        <w:rPr>
          <w:rtl/>
          <w:lang w:bidi="ar-DZ"/>
        </w:rPr>
        <w:t>النثر.</w:t>
      </w:r>
      <w:proofErr w:type="gramStart"/>
      <w:r w:rsidRPr="0092555B">
        <w:rPr>
          <w:rtl/>
          <w:lang w:bidi="ar-DZ"/>
        </w:rPr>
        <w:t>إذ</w:t>
      </w:r>
      <w:proofErr w:type="spellEnd"/>
      <w:proofErr w:type="gramEnd"/>
      <w:r w:rsidRPr="0092555B">
        <w:rPr>
          <w:rtl/>
          <w:lang w:bidi="ar-DZ"/>
        </w:rPr>
        <w:t xml:space="preserve"> «مفهوم "</w:t>
      </w:r>
      <w:proofErr w:type="spellStart"/>
      <w:r w:rsidRPr="0092555B">
        <w:rPr>
          <w:rtl/>
          <w:lang w:bidi="ar-DZ"/>
        </w:rPr>
        <w:t>الجنس"في</w:t>
      </w:r>
      <w:proofErr w:type="spellEnd"/>
      <w:r w:rsidRPr="0092555B">
        <w:rPr>
          <w:rtl/>
          <w:lang w:bidi="ar-DZ"/>
        </w:rPr>
        <w:t xml:space="preserve"> اللّغة والفكر العربيين يُعامل بوصفه "</w:t>
      </w:r>
      <w:proofErr w:type="spellStart"/>
      <w:r w:rsidRPr="0092555B">
        <w:rPr>
          <w:rtl/>
          <w:lang w:bidi="ar-DZ"/>
        </w:rPr>
        <w:t>جوهرا"لا</w:t>
      </w:r>
      <w:proofErr w:type="spellEnd"/>
      <w:r w:rsidRPr="0092555B">
        <w:rPr>
          <w:rtl/>
          <w:lang w:bidi="ar-DZ"/>
        </w:rPr>
        <w:t xml:space="preserve"> وجود له إلاّ في عالم المعقولات وسماء التجريد. »</w:t>
      </w:r>
      <w:bookmarkStart w:id="3" w:name="_ftnref3"/>
      <w:r w:rsidRPr="0092555B">
        <w:rPr>
          <w:rtl/>
          <w:lang w:bidi="ar-DZ"/>
        </w:rPr>
        <w:fldChar w:fldCharType="begin"/>
      </w:r>
      <w:r w:rsidRPr="0092555B">
        <w:rPr>
          <w:rtl/>
          <w:lang w:bidi="ar-DZ"/>
        </w:rPr>
        <w:instrText xml:space="preserve"> </w:instrText>
      </w:r>
      <w:r w:rsidRPr="0092555B">
        <w:instrText>HYPERLINK "file:///C:\\Users\\DELL\\</w:instrText>
      </w:r>
      <w:proofErr w:type="gramStart"/>
      <w:r w:rsidRPr="0092555B">
        <w:instrText>Deskt</w:instrText>
      </w:r>
      <w:proofErr w:type="gramEnd"/>
      <w:r w:rsidRPr="0092555B">
        <w:instrText>op\\%D9%86%D9%82%D8%AF%20%D8%A7%D9%84%D9%86%D8%AB%D8%B1%20%D8%A7%D9%84%D8%B9%D8%B1%D8%A8%D9%8A%20%D8%A7%D9%84%D8%AD%D8%AF%D9%8A%D8%AB%20%D9%88%D8%A7%D9%84%D9%85%D8%B9%D8%A7%D8%B5%D8%B1.docx" \l "_ftn3" \o</w:instrText>
      </w:r>
      <w:r w:rsidRPr="0092555B">
        <w:rPr>
          <w:rtl/>
          <w:lang w:bidi="ar-DZ"/>
        </w:rPr>
        <w:instrText xml:space="preserve"> "" </w:instrText>
      </w:r>
      <w:r w:rsidRPr="0092555B">
        <w:rPr>
          <w:rtl/>
          <w:lang w:bidi="ar-DZ"/>
        </w:rPr>
        <w:fldChar w:fldCharType="separate"/>
      </w:r>
      <w:r w:rsidRPr="0092555B">
        <w:rPr>
          <w:rStyle w:val="Lienhypertexte"/>
        </w:rPr>
        <w:t>[3]</w:t>
      </w:r>
      <w:r w:rsidRPr="0092555B">
        <w:rPr>
          <w:rtl/>
        </w:rPr>
        <w:fldChar w:fldCharType="end"/>
      </w:r>
      <w:bookmarkEnd w:id="3"/>
      <w:r w:rsidRPr="0092555B">
        <w:rPr>
          <w:rtl/>
          <w:lang w:bidi="ar-DZ"/>
        </w:rPr>
        <w:t xml:space="preserve"> .ومن ثمة فالجنس والنوع  كما عرفا منطقيا هما : « </w:t>
      </w:r>
      <w:proofErr w:type="spellStart"/>
      <w:r w:rsidRPr="0092555B">
        <w:rPr>
          <w:rtl/>
          <w:lang w:bidi="ar-DZ"/>
        </w:rPr>
        <w:t>الجنس،وهو</w:t>
      </w:r>
      <w:proofErr w:type="spellEnd"/>
      <w:r w:rsidRPr="0092555B">
        <w:rPr>
          <w:rtl/>
          <w:lang w:bidi="ar-DZ"/>
        </w:rPr>
        <w:t xml:space="preserve">  الكلي المقول على كثيرين مختلفين في </w:t>
      </w:r>
      <w:proofErr w:type="spellStart"/>
      <w:r w:rsidRPr="0092555B">
        <w:rPr>
          <w:rtl/>
          <w:lang w:bidi="ar-DZ"/>
        </w:rPr>
        <w:t>الحقيقة،في</w:t>
      </w:r>
      <w:proofErr w:type="spellEnd"/>
      <w:r w:rsidRPr="0092555B">
        <w:rPr>
          <w:rtl/>
          <w:lang w:bidi="ar-DZ"/>
        </w:rPr>
        <w:t xml:space="preserve"> جواب ما </w:t>
      </w:r>
      <w:proofErr w:type="spellStart"/>
      <w:r w:rsidRPr="0092555B">
        <w:rPr>
          <w:rtl/>
          <w:lang w:bidi="ar-DZ"/>
        </w:rPr>
        <w:t>هو؟والنوع</w:t>
      </w:r>
      <w:proofErr w:type="spellEnd"/>
      <w:r w:rsidRPr="0092555B">
        <w:rPr>
          <w:rtl/>
          <w:lang w:bidi="ar-DZ"/>
        </w:rPr>
        <w:t xml:space="preserve"> وهو الكلي المقول على كثيرين متحدين في الحقيقة في جواب ما هو ؟»</w:t>
      </w:r>
      <w:bookmarkStart w:id="4" w:name="_ftnref4"/>
      <w:r w:rsidRPr="0092555B">
        <w:rPr>
          <w:rtl/>
          <w:lang w:bidi="ar-DZ"/>
        </w:rPr>
        <w:fldChar w:fldCharType="begin"/>
      </w:r>
      <w:r w:rsidRPr="0092555B">
        <w:rPr>
          <w:rtl/>
          <w:lang w:bidi="ar-DZ"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"_ftn4" \o</w:instrText>
      </w:r>
      <w:r w:rsidRPr="0092555B">
        <w:rPr>
          <w:rtl/>
          <w:lang w:bidi="ar-DZ"/>
        </w:rPr>
        <w:instrText xml:space="preserve"> "" </w:instrText>
      </w:r>
      <w:r w:rsidRPr="0092555B">
        <w:rPr>
          <w:rtl/>
          <w:lang w:bidi="ar-DZ"/>
        </w:rPr>
        <w:fldChar w:fldCharType="separate"/>
      </w:r>
      <w:r w:rsidRPr="0092555B">
        <w:rPr>
          <w:rStyle w:val="Lienhypertexte"/>
        </w:rPr>
        <w:t>[4]</w:t>
      </w:r>
      <w:r w:rsidRPr="0092555B">
        <w:rPr>
          <w:rtl/>
        </w:rPr>
        <w:fldChar w:fldCharType="end"/>
      </w:r>
      <w:bookmarkEnd w:id="4"/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>نستشف من هذا النصّ أنّ الجنس</w:t>
      </w:r>
      <w:bookmarkStart w:id="5" w:name="_ftnref5"/>
      <w:r w:rsidRPr="0092555B">
        <w:rPr>
          <w:rtl/>
          <w:lang w:bidi="ar-DZ"/>
        </w:rPr>
        <w:fldChar w:fldCharType="begin"/>
      </w:r>
      <w:r w:rsidRPr="0092555B">
        <w:rPr>
          <w:rtl/>
          <w:lang w:bidi="ar-DZ"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"_ftn5" \o</w:instrText>
      </w:r>
      <w:r w:rsidRPr="0092555B">
        <w:rPr>
          <w:rtl/>
          <w:lang w:bidi="ar-DZ"/>
        </w:rPr>
        <w:instrText xml:space="preserve"> "" </w:instrText>
      </w:r>
      <w:r w:rsidRPr="0092555B">
        <w:rPr>
          <w:rtl/>
          <w:lang w:bidi="ar-DZ"/>
        </w:rPr>
        <w:fldChar w:fldCharType="separate"/>
      </w:r>
      <w:r w:rsidRPr="0092555B">
        <w:rPr>
          <w:rStyle w:val="Lienhypertexte"/>
        </w:rPr>
        <w:t>[5]</w:t>
      </w:r>
      <w:r w:rsidRPr="0092555B">
        <w:rPr>
          <w:rtl/>
        </w:rPr>
        <w:fldChar w:fldCharType="end"/>
      </w:r>
      <w:bookmarkEnd w:id="5"/>
      <w:r w:rsidRPr="0092555B">
        <w:rPr>
          <w:rtl/>
          <w:lang w:bidi="ar-DZ"/>
        </w:rPr>
        <w:t xml:space="preserve"> أعم من </w:t>
      </w:r>
      <w:proofErr w:type="spellStart"/>
      <w:r w:rsidRPr="0092555B">
        <w:rPr>
          <w:rtl/>
          <w:lang w:bidi="ar-DZ"/>
        </w:rPr>
        <w:t>النوع،والنوع</w:t>
      </w:r>
      <w:proofErr w:type="spellEnd"/>
      <w:r w:rsidRPr="0092555B">
        <w:rPr>
          <w:rtl/>
          <w:lang w:bidi="ar-DZ"/>
        </w:rPr>
        <w:t xml:space="preserve"> أخص من </w:t>
      </w:r>
      <w:proofErr w:type="spellStart"/>
      <w:r w:rsidRPr="0092555B">
        <w:rPr>
          <w:rtl/>
          <w:lang w:bidi="ar-DZ"/>
        </w:rPr>
        <w:t>الجنس،فجنس</w:t>
      </w:r>
      <w:proofErr w:type="spellEnd"/>
      <w:r w:rsidRPr="0092555B">
        <w:rPr>
          <w:rtl/>
          <w:lang w:bidi="ar-DZ"/>
        </w:rPr>
        <w:t xml:space="preserve"> النثر بما هو مقولة كبرى يحتوي عديد </w:t>
      </w:r>
      <w:proofErr w:type="spellStart"/>
      <w:r w:rsidRPr="0092555B">
        <w:rPr>
          <w:rtl/>
          <w:lang w:bidi="ar-DZ"/>
        </w:rPr>
        <w:t>الأنواع،هذه</w:t>
      </w:r>
      <w:proofErr w:type="spellEnd"/>
      <w:r w:rsidRPr="0092555B">
        <w:rPr>
          <w:rtl/>
          <w:lang w:bidi="ar-DZ"/>
        </w:rPr>
        <w:t xml:space="preserve"> الأنواع تشترك في جملة من الخصائص </w:t>
      </w:r>
      <w:proofErr w:type="spellStart"/>
      <w:r w:rsidRPr="0092555B">
        <w:rPr>
          <w:rtl/>
          <w:lang w:bidi="ar-DZ"/>
        </w:rPr>
        <w:t>العامة؛وهي</w:t>
      </w:r>
      <w:proofErr w:type="spellEnd"/>
      <w:r w:rsidRPr="0092555B">
        <w:rPr>
          <w:rtl/>
          <w:lang w:bidi="ar-DZ"/>
        </w:rPr>
        <w:t xml:space="preserve"> أنّ النثر </w:t>
      </w:r>
      <w:proofErr w:type="spellStart"/>
      <w:r w:rsidRPr="0092555B">
        <w:rPr>
          <w:rtl/>
          <w:lang w:bidi="ar-DZ"/>
        </w:rPr>
        <w:t>كلام،مرتب</w:t>
      </w:r>
      <w:proofErr w:type="spellEnd"/>
      <w:r w:rsidRPr="0092555B">
        <w:rPr>
          <w:rtl/>
          <w:lang w:bidi="ar-DZ"/>
        </w:rPr>
        <w:t xml:space="preserve"> على نحو </w:t>
      </w:r>
      <w:proofErr w:type="spellStart"/>
      <w:r w:rsidRPr="0092555B">
        <w:rPr>
          <w:rtl/>
          <w:lang w:bidi="ar-DZ"/>
        </w:rPr>
        <w:t>مخصوص،لغاية</w:t>
      </w:r>
      <w:proofErr w:type="spellEnd"/>
      <w:r w:rsidRPr="0092555B">
        <w:rPr>
          <w:rtl/>
          <w:lang w:bidi="ar-DZ"/>
        </w:rPr>
        <w:t xml:space="preserve"> فنيّة بالدرجة الأولى .يقابله جنس </w:t>
      </w:r>
      <w:proofErr w:type="spellStart"/>
      <w:r w:rsidRPr="0092555B">
        <w:rPr>
          <w:rtl/>
          <w:lang w:bidi="ar-DZ"/>
        </w:rPr>
        <w:t>الشعر:الذي</w:t>
      </w:r>
      <w:proofErr w:type="spellEnd"/>
      <w:r w:rsidRPr="0092555B">
        <w:rPr>
          <w:rtl/>
          <w:lang w:bidi="ar-DZ"/>
        </w:rPr>
        <w:t xml:space="preserve"> قوام حده التعريفي "كلام موزون مقفى "كما نصّ عليه قدامة بن </w:t>
      </w:r>
      <w:proofErr w:type="spellStart"/>
      <w:r w:rsidRPr="0092555B">
        <w:rPr>
          <w:rtl/>
          <w:lang w:bidi="ar-DZ"/>
        </w:rPr>
        <w:t>جعفر«قول</w:t>
      </w:r>
      <w:proofErr w:type="spellEnd"/>
      <w:r w:rsidRPr="0092555B">
        <w:rPr>
          <w:rtl/>
          <w:lang w:bidi="ar-DZ"/>
        </w:rPr>
        <w:t xml:space="preserve"> موزون و مقفى و يدل على معنى»</w:t>
      </w:r>
      <w:bookmarkStart w:id="6" w:name="_ftnref6"/>
      <w:r w:rsidRPr="0092555B">
        <w:rPr>
          <w:rtl/>
          <w:lang w:bidi="ar-DZ"/>
        </w:rPr>
        <w:fldChar w:fldCharType="begin"/>
      </w:r>
      <w:r w:rsidRPr="0092555B">
        <w:rPr>
          <w:rtl/>
          <w:lang w:bidi="ar-DZ"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"_ftn6" \o</w:instrText>
      </w:r>
      <w:r w:rsidRPr="0092555B">
        <w:rPr>
          <w:rtl/>
          <w:lang w:bidi="ar-DZ"/>
        </w:rPr>
        <w:instrText xml:space="preserve"> "" </w:instrText>
      </w:r>
      <w:r w:rsidRPr="0092555B">
        <w:rPr>
          <w:rtl/>
          <w:lang w:bidi="ar-DZ"/>
        </w:rPr>
        <w:fldChar w:fldCharType="separate"/>
      </w:r>
      <w:r w:rsidRPr="0092555B">
        <w:rPr>
          <w:rStyle w:val="Lienhypertexte"/>
        </w:rPr>
        <w:t>[6]</w:t>
      </w:r>
      <w:r w:rsidRPr="0092555B">
        <w:rPr>
          <w:rtl/>
        </w:rPr>
        <w:fldChar w:fldCharType="end"/>
      </w:r>
      <w:bookmarkEnd w:id="6"/>
      <w:r w:rsidRPr="0092555B">
        <w:rPr>
          <w:rtl/>
          <w:lang w:bidi="ar-DZ"/>
        </w:rPr>
        <w:t xml:space="preserve"> هذا الطرح الكلاسيكي في التمييز بين الأجناس في إطار نظرية نقاء الجنس </w:t>
      </w:r>
      <w:proofErr w:type="spellStart"/>
      <w:r w:rsidRPr="0092555B">
        <w:rPr>
          <w:rtl/>
          <w:lang w:bidi="ar-DZ"/>
        </w:rPr>
        <w:t>الأدبي؛أي</w:t>
      </w:r>
      <w:proofErr w:type="spellEnd"/>
      <w:r w:rsidRPr="0092555B">
        <w:rPr>
          <w:rtl/>
          <w:lang w:bidi="ar-DZ"/>
        </w:rPr>
        <w:t xml:space="preserve"> غياب الاختلاط والتهجين </w:t>
      </w:r>
      <w:proofErr w:type="spellStart"/>
      <w:r w:rsidRPr="0092555B">
        <w:rPr>
          <w:rtl/>
          <w:lang w:bidi="ar-DZ"/>
        </w:rPr>
        <w:t>والتماهي،والقول</w:t>
      </w:r>
      <w:proofErr w:type="spellEnd"/>
      <w:r w:rsidRPr="0092555B">
        <w:rPr>
          <w:rtl/>
          <w:lang w:bidi="ar-DZ"/>
        </w:rPr>
        <w:t xml:space="preserve"> بالحدود الصارمة .«ويمثل تفجير الحدود بين الشعر </w:t>
      </w:r>
      <w:proofErr w:type="spellStart"/>
      <w:r w:rsidRPr="0092555B">
        <w:rPr>
          <w:rtl/>
          <w:lang w:bidi="ar-DZ"/>
        </w:rPr>
        <w:t>والنثر</w:t>
      </w:r>
      <w:proofErr w:type="gramStart"/>
      <w:r w:rsidRPr="0092555B">
        <w:rPr>
          <w:rtl/>
          <w:lang w:bidi="ar-DZ"/>
        </w:rPr>
        <w:t>،وإلغاء</w:t>
      </w:r>
      <w:proofErr w:type="spellEnd"/>
      <w:proofErr w:type="gramEnd"/>
      <w:r w:rsidRPr="0092555B">
        <w:rPr>
          <w:rtl/>
          <w:lang w:bidi="ar-DZ"/>
        </w:rPr>
        <w:t xml:space="preserve"> الفواصل والفوارق </w:t>
      </w:r>
      <w:proofErr w:type="spellStart"/>
      <w:r w:rsidRPr="0092555B">
        <w:rPr>
          <w:rtl/>
          <w:lang w:bidi="ar-DZ"/>
        </w:rPr>
        <w:t>بينهما،جوهر</w:t>
      </w:r>
      <w:proofErr w:type="spellEnd"/>
      <w:r w:rsidRPr="0092555B">
        <w:rPr>
          <w:rtl/>
          <w:lang w:bidi="ar-DZ"/>
        </w:rPr>
        <w:t xml:space="preserve"> ما قدّمه أدب المهجر للأدب العربي </w:t>
      </w:r>
      <w:proofErr w:type="spellStart"/>
      <w:r w:rsidRPr="0092555B">
        <w:rPr>
          <w:rtl/>
          <w:lang w:bidi="ar-DZ"/>
        </w:rPr>
        <w:t>المعاصر،فهي</w:t>
      </w:r>
      <w:proofErr w:type="spellEnd"/>
      <w:r w:rsidRPr="0092555B">
        <w:rPr>
          <w:rtl/>
          <w:lang w:bidi="ar-DZ"/>
        </w:rPr>
        <w:t xml:space="preserve"> الحقيقة والنتيجة </w:t>
      </w:r>
      <w:proofErr w:type="spellStart"/>
      <w:r w:rsidRPr="0092555B">
        <w:rPr>
          <w:rtl/>
          <w:lang w:bidi="ar-DZ"/>
        </w:rPr>
        <w:t>المستخلصة،كما</w:t>
      </w:r>
      <w:proofErr w:type="spellEnd"/>
      <w:r w:rsidRPr="0092555B">
        <w:rPr>
          <w:rtl/>
          <w:lang w:bidi="ar-DZ"/>
        </w:rPr>
        <w:t xml:space="preserve"> أنّها ليست مجرد إضافة كميّة بل تغيّر نوعي مفصلي سيُحدد مصير واتجاه الأدب العربي المعاصر.»</w:t>
      </w:r>
      <w:bookmarkStart w:id="7" w:name="_ftnref7"/>
      <w:r w:rsidRPr="0092555B">
        <w:rPr>
          <w:rtl/>
          <w:lang w:bidi="ar-DZ"/>
        </w:rPr>
        <w:fldChar w:fldCharType="begin"/>
      </w:r>
      <w:r w:rsidRPr="0092555B">
        <w:rPr>
          <w:rtl/>
          <w:lang w:bidi="ar-DZ"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"_ftn7" \o</w:instrText>
      </w:r>
      <w:r w:rsidRPr="0092555B">
        <w:rPr>
          <w:rtl/>
          <w:lang w:bidi="ar-DZ"/>
        </w:rPr>
        <w:instrText xml:space="preserve"> "" </w:instrText>
      </w:r>
      <w:r w:rsidRPr="0092555B">
        <w:rPr>
          <w:rtl/>
          <w:lang w:bidi="ar-DZ"/>
        </w:rPr>
        <w:fldChar w:fldCharType="separate"/>
      </w:r>
      <w:r w:rsidRPr="0092555B">
        <w:rPr>
          <w:rStyle w:val="Lienhypertexte"/>
        </w:rPr>
        <w:t>[7]</w:t>
      </w:r>
      <w:r w:rsidRPr="0092555B">
        <w:rPr>
          <w:rtl/>
        </w:rPr>
        <w:fldChar w:fldCharType="end"/>
      </w:r>
      <w:bookmarkEnd w:id="7"/>
      <w:r w:rsidRPr="0092555B">
        <w:rPr>
          <w:rtl/>
          <w:lang w:bidi="ar-DZ"/>
        </w:rPr>
        <w:t xml:space="preserve">وبناء على هذا الطرح ظهرت الأنواع الهجينة ومنها قصيدة </w:t>
      </w:r>
      <w:proofErr w:type="spellStart"/>
      <w:r w:rsidRPr="0092555B">
        <w:rPr>
          <w:rtl/>
          <w:lang w:bidi="ar-DZ"/>
        </w:rPr>
        <w:t>النثر؛والتي</w:t>
      </w:r>
      <w:proofErr w:type="spellEnd"/>
      <w:r w:rsidRPr="0092555B">
        <w:rPr>
          <w:rtl/>
          <w:lang w:bidi="ar-DZ"/>
        </w:rPr>
        <w:t xml:space="preserve"> تجمع بين مقوّمات وخصائص </w:t>
      </w:r>
      <w:proofErr w:type="spellStart"/>
      <w:r w:rsidRPr="0092555B">
        <w:rPr>
          <w:rtl/>
          <w:lang w:bidi="ar-DZ"/>
        </w:rPr>
        <w:t>النثر،وبعض</w:t>
      </w:r>
      <w:proofErr w:type="spellEnd"/>
      <w:r w:rsidRPr="0092555B">
        <w:rPr>
          <w:rtl/>
          <w:lang w:bidi="ar-DZ"/>
        </w:rPr>
        <w:t xml:space="preserve"> خصائص النثر .</w:t>
      </w:r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 xml:space="preserve">فما هي أنواع النثر التي عرفها العربي في النقد العربي </w:t>
      </w:r>
      <w:proofErr w:type="spellStart"/>
      <w:r w:rsidRPr="0092555B">
        <w:rPr>
          <w:rtl/>
          <w:lang w:bidi="ar-DZ"/>
        </w:rPr>
        <w:t>القديم</w:t>
      </w:r>
      <w:proofErr w:type="gramStart"/>
      <w:r w:rsidRPr="0092555B">
        <w:rPr>
          <w:rtl/>
          <w:lang w:bidi="ar-DZ"/>
        </w:rPr>
        <w:t>،وما</w:t>
      </w:r>
      <w:proofErr w:type="spellEnd"/>
      <w:proofErr w:type="gramEnd"/>
      <w:r w:rsidRPr="0092555B">
        <w:rPr>
          <w:rtl/>
          <w:lang w:bidi="ar-DZ"/>
        </w:rPr>
        <w:t xml:space="preserve"> هي الأنواع النثرية الحديثة والمعاصرة؟</w:t>
      </w:r>
    </w:p>
    <w:p w:rsidR="0092555B" w:rsidRPr="0092555B" w:rsidRDefault="0092555B" w:rsidP="0092555B">
      <w:pPr>
        <w:bidi/>
        <w:rPr>
          <w:rtl/>
        </w:rPr>
      </w:pPr>
      <w:r w:rsidRPr="0092555B">
        <w:rPr>
          <w:rtl/>
          <w:lang w:bidi="ar-DZ"/>
        </w:rPr>
        <w:t xml:space="preserve">نحاول أن نقدّم ذلك مختصرا في هذا </w:t>
      </w:r>
      <w:proofErr w:type="gramStart"/>
      <w:r w:rsidRPr="0092555B">
        <w:rPr>
          <w:rtl/>
          <w:lang w:bidi="ar-DZ"/>
        </w:rPr>
        <w:t>الجدول :</w:t>
      </w:r>
      <w:proofErr w:type="gramEnd"/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4308"/>
      </w:tblGrid>
      <w:tr w:rsidR="0092555B" w:rsidRPr="0092555B" w:rsidTr="0092555B">
        <w:trPr>
          <w:trHeight w:val="400"/>
        </w:trPr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5B" w:rsidRPr="0092555B" w:rsidRDefault="0092555B" w:rsidP="0092555B">
            <w:pPr>
              <w:bidi/>
            </w:pPr>
            <w:proofErr w:type="gramStart"/>
            <w:r w:rsidRPr="0092555B">
              <w:rPr>
                <w:b/>
                <w:bCs/>
                <w:rtl/>
                <w:lang w:bidi="ar-DZ"/>
              </w:rPr>
              <w:t>الأنواع</w:t>
            </w:r>
            <w:proofErr w:type="gramEnd"/>
            <w:r w:rsidRPr="0092555B">
              <w:rPr>
                <w:b/>
                <w:bCs/>
                <w:rtl/>
                <w:lang w:bidi="ar-DZ"/>
              </w:rPr>
              <w:t xml:space="preserve"> النثرية القديمة</w:t>
            </w:r>
          </w:p>
        </w:tc>
        <w:tc>
          <w:tcPr>
            <w:tcW w:w="430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5B" w:rsidRPr="0092555B" w:rsidRDefault="0092555B" w:rsidP="0092555B">
            <w:pPr>
              <w:bidi/>
            </w:pPr>
            <w:proofErr w:type="gramStart"/>
            <w:r w:rsidRPr="0092555B">
              <w:rPr>
                <w:b/>
                <w:bCs/>
                <w:rtl/>
                <w:lang w:bidi="ar-DZ"/>
              </w:rPr>
              <w:t>الأنواع</w:t>
            </w:r>
            <w:proofErr w:type="gramEnd"/>
            <w:r w:rsidRPr="0092555B">
              <w:rPr>
                <w:b/>
                <w:bCs/>
                <w:rtl/>
                <w:lang w:bidi="ar-DZ"/>
              </w:rPr>
              <w:t xml:space="preserve"> النثرية الحديثة</w:t>
            </w:r>
          </w:p>
        </w:tc>
      </w:tr>
      <w:tr w:rsidR="0092555B" w:rsidRPr="0092555B" w:rsidTr="0092555B">
        <w:trPr>
          <w:trHeight w:val="2730"/>
        </w:trPr>
        <w:tc>
          <w:tcPr>
            <w:tcW w:w="42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lastRenderedPageBreak/>
              <w:t xml:space="preserve">الأمثال </w:t>
            </w:r>
            <w:proofErr w:type="gramStart"/>
            <w:r w:rsidRPr="0092555B">
              <w:rPr>
                <w:b/>
                <w:bCs/>
                <w:rtl/>
                <w:lang w:bidi="ar-DZ"/>
              </w:rPr>
              <w:t>والحكم</w:t>
            </w:r>
            <w:proofErr w:type="gramEnd"/>
            <w:r w:rsidRPr="0092555B">
              <w:rPr>
                <w:rtl/>
                <w:lang w:bidi="ar-DZ"/>
              </w:rPr>
              <w:t> :«عبارات تضرب في حوادث مشبهة للحوادث الأصلية التي جاءت فيها.»</w:t>
            </w:r>
            <w:bookmarkStart w:id="8" w:name="_ftnref8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"_ftn8"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[8]</w:t>
            </w:r>
            <w:r w:rsidRPr="0092555B">
              <w:rPr>
                <w:rtl/>
              </w:rPr>
              <w:fldChar w:fldCharType="end"/>
            </w:r>
            <w:bookmarkEnd w:id="8"/>
          </w:p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t xml:space="preserve">سجع </w:t>
            </w:r>
            <w:proofErr w:type="spellStart"/>
            <w:r w:rsidRPr="0092555B">
              <w:rPr>
                <w:b/>
                <w:bCs/>
                <w:rtl/>
                <w:lang w:bidi="ar-DZ"/>
              </w:rPr>
              <w:t>الكهان:«</w:t>
            </w:r>
            <w:r w:rsidRPr="0092555B">
              <w:rPr>
                <w:rtl/>
                <w:lang w:bidi="ar-DZ"/>
              </w:rPr>
              <w:t>ضرب</w:t>
            </w:r>
            <w:proofErr w:type="spellEnd"/>
            <w:r w:rsidRPr="0092555B">
              <w:rPr>
                <w:rtl/>
                <w:lang w:bidi="ar-DZ"/>
              </w:rPr>
              <w:t xml:space="preserve"> من الخ</w:t>
            </w:r>
            <w:proofErr w:type="gramStart"/>
            <w:r w:rsidRPr="0092555B">
              <w:rPr>
                <w:rtl/>
                <w:lang w:bidi="ar-DZ"/>
              </w:rPr>
              <w:t>طاب ا</w:t>
            </w:r>
            <w:proofErr w:type="gramEnd"/>
            <w:r w:rsidRPr="0092555B">
              <w:rPr>
                <w:rtl/>
                <w:lang w:bidi="ar-DZ"/>
              </w:rPr>
              <w:t xml:space="preserve">لديني </w:t>
            </w:r>
            <w:proofErr w:type="spellStart"/>
            <w:r w:rsidRPr="0092555B">
              <w:rPr>
                <w:rtl/>
                <w:lang w:bidi="ar-DZ"/>
              </w:rPr>
              <w:t>الشفاهي،الذي</w:t>
            </w:r>
            <w:proofErr w:type="spellEnd"/>
            <w:r w:rsidRPr="0092555B">
              <w:rPr>
                <w:rtl/>
                <w:lang w:bidi="ar-DZ"/>
              </w:rPr>
              <w:t xml:space="preserve"> يقوم أساسا في نسيجه اللّغوي وبنيته الأسلوبية على </w:t>
            </w:r>
            <w:proofErr w:type="spellStart"/>
            <w:r w:rsidRPr="0092555B">
              <w:rPr>
                <w:rtl/>
                <w:lang w:bidi="ar-DZ"/>
              </w:rPr>
              <w:t>الأسجاع،وهو</w:t>
            </w:r>
            <w:proofErr w:type="spellEnd"/>
            <w:r w:rsidRPr="0092555B">
              <w:rPr>
                <w:rtl/>
                <w:lang w:bidi="ar-DZ"/>
              </w:rPr>
              <w:t xml:space="preserve"> فن قائم </w:t>
            </w:r>
            <w:proofErr w:type="spellStart"/>
            <w:r w:rsidRPr="0092555B">
              <w:rPr>
                <w:rtl/>
                <w:lang w:bidi="ar-DZ"/>
              </w:rPr>
              <w:t>بذاته،ظهر</w:t>
            </w:r>
            <w:proofErr w:type="spellEnd"/>
            <w:r w:rsidRPr="0092555B">
              <w:rPr>
                <w:rtl/>
                <w:lang w:bidi="ar-DZ"/>
              </w:rPr>
              <w:t xml:space="preserve"> في العصر الجاهلي، وقد وصل إلينا مقترنا بأحاديث الكهان وأقوال المتنبئين. »</w:t>
            </w:r>
            <w:bookmarkStart w:id="9" w:name="_ftnref9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"_ftn9"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[9]</w:t>
            </w:r>
            <w:r w:rsidRPr="0092555B">
              <w:rPr>
                <w:rtl/>
              </w:rPr>
              <w:fldChar w:fldCharType="end"/>
            </w:r>
            <w:bookmarkEnd w:id="9"/>
          </w:p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t> الخطب</w:t>
            </w:r>
            <w:r w:rsidRPr="0092555B">
              <w:rPr>
                <w:rtl/>
                <w:lang w:bidi="ar-DZ"/>
              </w:rPr>
              <w:t> :قول ملفوظ/</w:t>
            </w:r>
            <w:proofErr w:type="spellStart"/>
            <w:r w:rsidRPr="0092555B">
              <w:rPr>
                <w:rtl/>
                <w:lang w:bidi="ar-DZ"/>
              </w:rPr>
              <w:t>منطوق،يسعى</w:t>
            </w:r>
            <w:proofErr w:type="spellEnd"/>
            <w:r w:rsidRPr="0092555B">
              <w:rPr>
                <w:rtl/>
                <w:lang w:bidi="ar-DZ"/>
              </w:rPr>
              <w:t xml:space="preserve"> للتأثير في </w:t>
            </w:r>
            <w:proofErr w:type="spellStart"/>
            <w:r w:rsidRPr="0092555B">
              <w:rPr>
                <w:rtl/>
                <w:lang w:bidi="ar-DZ"/>
              </w:rPr>
              <w:t>السامعين؛على</w:t>
            </w:r>
            <w:proofErr w:type="spellEnd"/>
            <w:r w:rsidRPr="0092555B">
              <w:rPr>
                <w:rtl/>
                <w:lang w:bidi="ar-DZ"/>
              </w:rPr>
              <w:t xml:space="preserve"> ما يراد منهم.</w:t>
            </w:r>
            <w:bookmarkStart w:id="10" w:name="_ftnref10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"_ftn10"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[10]</w:t>
            </w:r>
            <w:r w:rsidRPr="0092555B">
              <w:rPr>
                <w:rtl/>
              </w:rPr>
              <w:fldChar w:fldCharType="end"/>
            </w:r>
            <w:bookmarkEnd w:id="10"/>
          </w:p>
          <w:p w:rsidR="0092555B" w:rsidRPr="0092555B" w:rsidRDefault="0092555B" w:rsidP="0092555B">
            <w:pPr>
              <w:bidi/>
              <w:rPr>
                <w:rtl/>
              </w:rPr>
            </w:pPr>
            <w:proofErr w:type="spellStart"/>
            <w:r w:rsidRPr="0092555B">
              <w:rPr>
                <w:b/>
                <w:bCs/>
                <w:rtl/>
                <w:lang w:bidi="ar-DZ"/>
              </w:rPr>
              <w:t>المقامات</w:t>
            </w:r>
            <w:r w:rsidRPr="0092555B">
              <w:rPr>
                <w:rtl/>
                <w:lang w:bidi="ar-DZ"/>
              </w:rPr>
              <w:t>:أقصوصة</w:t>
            </w:r>
            <w:proofErr w:type="spellEnd"/>
            <w:r w:rsidRPr="0092555B">
              <w:rPr>
                <w:rtl/>
                <w:lang w:bidi="ar-DZ"/>
              </w:rPr>
              <w:t xml:space="preserve"> </w:t>
            </w:r>
            <w:proofErr w:type="spellStart"/>
            <w:r w:rsidRPr="0092555B">
              <w:rPr>
                <w:rtl/>
                <w:lang w:bidi="ar-DZ"/>
              </w:rPr>
              <w:t>طريفة،في</w:t>
            </w:r>
            <w:proofErr w:type="spellEnd"/>
            <w:r w:rsidRPr="0092555B">
              <w:rPr>
                <w:rtl/>
                <w:lang w:bidi="ar-DZ"/>
              </w:rPr>
              <w:t xml:space="preserve"> ألفاظ أنيقة </w:t>
            </w:r>
            <w:proofErr w:type="spellStart"/>
            <w:r w:rsidRPr="0092555B">
              <w:rPr>
                <w:rtl/>
                <w:lang w:bidi="ar-DZ"/>
              </w:rPr>
              <w:t>وأسلوب،مسجع،يسندها</w:t>
            </w:r>
            <w:proofErr w:type="spellEnd"/>
            <w:r w:rsidRPr="0092555B">
              <w:rPr>
                <w:rtl/>
                <w:lang w:bidi="ar-DZ"/>
              </w:rPr>
              <w:t xml:space="preserve"> بطل وراو</w:t>
            </w:r>
            <w:bookmarkStart w:id="11" w:name="_ftnref11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"_ftn11"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[11]</w:t>
            </w:r>
            <w:r w:rsidRPr="0092555B">
              <w:rPr>
                <w:rtl/>
              </w:rPr>
              <w:fldChar w:fldCharType="end"/>
            </w:r>
            <w:bookmarkEnd w:id="11"/>
          </w:p>
          <w:p w:rsidR="0092555B" w:rsidRPr="0092555B" w:rsidRDefault="0092555B" w:rsidP="0092555B">
            <w:pPr>
              <w:bidi/>
              <w:rPr>
                <w:rtl/>
              </w:rPr>
            </w:pPr>
            <w:proofErr w:type="spellStart"/>
            <w:r w:rsidRPr="0092555B">
              <w:rPr>
                <w:b/>
                <w:bCs/>
                <w:rtl/>
                <w:lang w:bidi="ar-DZ"/>
              </w:rPr>
              <w:t>التوقيعات</w:t>
            </w:r>
            <w:r w:rsidRPr="0092555B">
              <w:rPr>
                <w:rtl/>
                <w:lang w:bidi="ar-DZ"/>
              </w:rPr>
              <w:t>:عبارة</w:t>
            </w:r>
            <w:proofErr w:type="spellEnd"/>
            <w:r w:rsidRPr="0092555B">
              <w:rPr>
                <w:rtl/>
                <w:lang w:bidi="ar-DZ"/>
              </w:rPr>
              <w:t xml:space="preserve"> بليغة </w:t>
            </w:r>
            <w:proofErr w:type="spellStart"/>
            <w:r w:rsidRPr="0092555B">
              <w:rPr>
                <w:rtl/>
                <w:lang w:bidi="ar-DZ"/>
              </w:rPr>
              <w:t>موجزة</w:t>
            </w:r>
            <w:proofErr w:type="gramStart"/>
            <w:r w:rsidRPr="0092555B">
              <w:rPr>
                <w:rtl/>
                <w:lang w:bidi="ar-DZ"/>
              </w:rPr>
              <w:t>،تصدر</w:t>
            </w:r>
            <w:proofErr w:type="spellEnd"/>
            <w:proofErr w:type="gramEnd"/>
            <w:r w:rsidRPr="0092555B">
              <w:rPr>
                <w:rtl/>
                <w:lang w:bidi="ar-DZ"/>
              </w:rPr>
              <w:t xml:space="preserve"> من ديوان </w:t>
            </w:r>
            <w:proofErr w:type="spellStart"/>
            <w:r w:rsidRPr="0092555B">
              <w:rPr>
                <w:rtl/>
                <w:lang w:bidi="ar-DZ"/>
              </w:rPr>
              <w:t>السلطان،توقيعا</w:t>
            </w:r>
            <w:proofErr w:type="spellEnd"/>
            <w:r w:rsidRPr="0092555B">
              <w:rPr>
                <w:rtl/>
                <w:lang w:bidi="ar-DZ"/>
              </w:rPr>
              <w:t xml:space="preserve"> على خطاب سابق.</w:t>
            </w:r>
            <w:bookmarkStart w:id="12" w:name="_ftnref12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"_ftn12"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[12]</w:t>
            </w:r>
            <w:r w:rsidRPr="0092555B">
              <w:rPr>
                <w:rtl/>
              </w:rPr>
              <w:fldChar w:fldCharType="end"/>
            </w:r>
            <w:bookmarkEnd w:id="12"/>
          </w:p>
          <w:p w:rsidR="0092555B" w:rsidRPr="0092555B" w:rsidRDefault="0092555B" w:rsidP="0092555B">
            <w:pPr>
              <w:bidi/>
              <w:rPr>
                <w:rtl/>
              </w:rPr>
            </w:pPr>
            <w:proofErr w:type="spellStart"/>
            <w:r w:rsidRPr="0092555B">
              <w:rPr>
                <w:b/>
                <w:bCs/>
                <w:rtl/>
                <w:lang w:bidi="ar-DZ"/>
              </w:rPr>
              <w:t>الرسائل:«</w:t>
            </w:r>
            <w:r w:rsidRPr="0092555B">
              <w:rPr>
                <w:rtl/>
                <w:lang w:bidi="ar-DZ"/>
              </w:rPr>
              <w:t>الرسالة</w:t>
            </w:r>
            <w:proofErr w:type="spellEnd"/>
            <w:r w:rsidRPr="0092555B">
              <w:rPr>
                <w:rtl/>
                <w:lang w:bidi="ar-DZ"/>
              </w:rPr>
              <w:t xml:space="preserve"> النثرية الفنية أي القطعة النثرية التي يُدبجها الكاتب في نسق فنيّ جميل في غرض من </w:t>
            </w:r>
            <w:proofErr w:type="spellStart"/>
            <w:r w:rsidRPr="0092555B">
              <w:rPr>
                <w:rtl/>
                <w:lang w:bidi="ar-DZ"/>
              </w:rPr>
              <w:t>اللأغراض،ويبعث</w:t>
            </w:r>
            <w:proofErr w:type="spellEnd"/>
            <w:r w:rsidRPr="0092555B">
              <w:rPr>
                <w:rtl/>
                <w:lang w:bidi="ar-DZ"/>
              </w:rPr>
              <w:t xml:space="preserve"> بها إلى شخص آخر.»</w:t>
            </w:r>
            <w:bookmarkStart w:id="13" w:name="_ftnref13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"_ftn13"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[13]</w:t>
            </w:r>
            <w:r w:rsidRPr="0092555B">
              <w:rPr>
                <w:rtl/>
              </w:rPr>
              <w:fldChar w:fldCharType="end"/>
            </w:r>
            <w:bookmarkEnd w:id="13"/>
          </w:p>
          <w:p w:rsidR="0092555B" w:rsidRPr="0092555B" w:rsidRDefault="0092555B" w:rsidP="0092555B">
            <w:pPr>
              <w:bidi/>
            </w:pPr>
            <w:r w:rsidRPr="0092555B">
              <w:rPr>
                <w:b/>
                <w:bCs/>
                <w:rtl/>
                <w:lang w:bidi="ar-DZ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t>الرواية :«</w:t>
            </w:r>
            <w:r w:rsidRPr="0092555B">
              <w:rPr>
                <w:rtl/>
                <w:lang w:bidi="ar-DZ"/>
              </w:rPr>
              <w:t>رواية</w:t>
            </w:r>
            <w:r w:rsidRPr="0092555B">
              <w:rPr>
                <w:b/>
                <w:bCs/>
                <w:rtl/>
                <w:lang w:bidi="ar-DZ"/>
              </w:rPr>
              <w:t> </w:t>
            </w:r>
            <w:r w:rsidRPr="0092555B">
              <w:t>Roman</w:t>
            </w:r>
            <w:r w:rsidRPr="0092555B">
              <w:rPr>
                <w:rtl/>
              </w:rPr>
              <w:t xml:space="preserve"> يُطلق النقاد ومؤرخو الأدب هذه اللفظة على القصة </w:t>
            </w:r>
            <w:proofErr w:type="spellStart"/>
            <w:r w:rsidRPr="0092555B">
              <w:rPr>
                <w:rtl/>
              </w:rPr>
              <w:t>الطويلة</w:t>
            </w:r>
            <w:proofErr w:type="gramStart"/>
            <w:r w:rsidRPr="0092555B">
              <w:rPr>
                <w:rtl/>
              </w:rPr>
              <w:t>،ابتداء</w:t>
            </w:r>
            <w:proofErr w:type="spellEnd"/>
            <w:proofErr w:type="gramEnd"/>
            <w:r w:rsidRPr="0092555B">
              <w:rPr>
                <w:rtl/>
              </w:rPr>
              <w:t xml:space="preserve"> من القرن السادس عشر سرد نثريّ لمغامرات </w:t>
            </w:r>
            <w:proofErr w:type="spellStart"/>
            <w:r w:rsidRPr="0092555B">
              <w:rPr>
                <w:rtl/>
              </w:rPr>
              <w:t>خيالية،وهي</w:t>
            </w:r>
            <w:proofErr w:type="spellEnd"/>
            <w:r w:rsidRPr="0092555B">
              <w:rPr>
                <w:rtl/>
              </w:rPr>
              <w:t xml:space="preserve"> تتميّز:</w:t>
            </w:r>
          </w:p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rtl/>
                <w:lang w:bidi="ar-DZ"/>
              </w:rPr>
              <w:t xml:space="preserve">أ-عن </w:t>
            </w:r>
            <w:proofErr w:type="spellStart"/>
            <w:r w:rsidRPr="0092555B">
              <w:rPr>
                <w:rtl/>
                <w:lang w:bidi="ar-DZ"/>
              </w:rPr>
              <w:t>الأقصوصة:من</w:t>
            </w:r>
            <w:proofErr w:type="spellEnd"/>
            <w:r w:rsidRPr="0092555B">
              <w:rPr>
                <w:rtl/>
                <w:lang w:bidi="ar-DZ"/>
              </w:rPr>
              <w:t xml:space="preserve"> حيث مداها الزّمني وغزارة </w:t>
            </w:r>
            <w:proofErr w:type="spellStart"/>
            <w:r w:rsidRPr="0092555B">
              <w:rPr>
                <w:rtl/>
                <w:lang w:bidi="ar-DZ"/>
              </w:rPr>
              <w:t>الأحداث</w:t>
            </w:r>
            <w:proofErr w:type="gramStart"/>
            <w:r w:rsidRPr="0092555B">
              <w:rPr>
                <w:rtl/>
                <w:lang w:bidi="ar-DZ"/>
              </w:rPr>
              <w:t>،وإبراز</w:t>
            </w:r>
            <w:proofErr w:type="spellEnd"/>
            <w:proofErr w:type="gramEnd"/>
            <w:r w:rsidRPr="0092555B">
              <w:rPr>
                <w:rtl/>
                <w:lang w:bidi="ar-DZ"/>
              </w:rPr>
              <w:t xml:space="preserve"> صورة كاملة لنفسية الأبطال.»</w:t>
            </w:r>
            <w:bookmarkStart w:id="14" w:name="_ftnref14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"_ftn14"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[14]</w:t>
            </w:r>
            <w:r w:rsidRPr="0092555B">
              <w:rPr>
                <w:rtl/>
              </w:rPr>
              <w:fldChar w:fldCharType="end"/>
            </w:r>
            <w:bookmarkEnd w:id="14"/>
          </w:p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t>القصة </w:t>
            </w:r>
            <w:r w:rsidRPr="0092555B">
              <w:rPr>
                <w:rtl/>
                <w:lang w:bidi="ar-DZ"/>
              </w:rPr>
              <w:t xml:space="preserve">:«القصة حوادث يخترعها الخيال وهي بهذا لا تعرض لنا </w:t>
            </w:r>
            <w:proofErr w:type="spellStart"/>
            <w:r w:rsidRPr="0092555B">
              <w:rPr>
                <w:rtl/>
                <w:lang w:bidi="ar-DZ"/>
              </w:rPr>
              <w:t>الواقع</w:t>
            </w:r>
            <w:proofErr w:type="gramStart"/>
            <w:r w:rsidRPr="0092555B">
              <w:rPr>
                <w:rtl/>
                <w:lang w:bidi="ar-DZ"/>
              </w:rPr>
              <w:t>،كما</w:t>
            </w:r>
            <w:proofErr w:type="spellEnd"/>
            <w:proofErr w:type="gramEnd"/>
            <w:r w:rsidRPr="0092555B">
              <w:rPr>
                <w:rtl/>
                <w:lang w:bidi="ar-DZ"/>
              </w:rPr>
              <w:t xml:space="preserve"> تعرضه كتب التاريخ </w:t>
            </w:r>
            <w:proofErr w:type="spellStart"/>
            <w:r w:rsidRPr="0092555B">
              <w:rPr>
                <w:rtl/>
                <w:lang w:bidi="ar-DZ"/>
              </w:rPr>
              <w:t>والسير،وإنّما</w:t>
            </w:r>
            <w:proofErr w:type="spellEnd"/>
            <w:r w:rsidRPr="0092555B">
              <w:rPr>
                <w:rtl/>
                <w:lang w:bidi="ar-DZ"/>
              </w:rPr>
              <w:t xml:space="preserve"> تبسط أمامنا صورة  مموهة منه.»</w:t>
            </w:r>
            <w:bookmarkStart w:id="15" w:name="_ftnref15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"_ftn15"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[15]</w:t>
            </w:r>
            <w:r w:rsidRPr="0092555B">
              <w:rPr>
                <w:rtl/>
              </w:rPr>
              <w:fldChar w:fldCharType="end"/>
            </w:r>
            <w:bookmarkEnd w:id="15"/>
          </w:p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t>الأقصوصة </w:t>
            </w:r>
            <w:r w:rsidRPr="0092555B">
              <w:rPr>
                <w:rtl/>
                <w:lang w:bidi="ar-DZ"/>
              </w:rPr>
              <w:t xml:space="preserve">:«اعتبروا الأقصوصة </w:t>
            </w:r>
            <w:proofErr w:type="gramStart"/>
            <w:r w:rsidRPr="0092555B">
              <w:rPr>
                <w:rtl/>
                <w:lang w:bidi="ar-DZ"/>
              </w:rPr>
              <w:t>نصّا</w:t>
            </w:r>
            <w:proofErr w:type="gramEnd"/>
            <w:r w:rsidRPr="0092555B">
              <w:rPr>
                <w:rtl/>
                <w:lang w:bidi="ar-DZ"/>
              </w:rPr>
              <w:t xml:space="preserve"> غير مكتمل لهذا وُصفت بالتكثيف والوحدة والإيحاء  »</w:t>
            </w:r>
            <w:bookmarkStart w:id="16" w:name="_ftnref16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"_ftn16"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[16]</w:t>
            </w:r>
            <w:r w:rsidRPr="0092555B">
              <w:rPr>
                <w:rtl/>
              </w:rPr>
              <w:fldChar w:fldCharType="end"/>
            </w:r>
            <w:bookmarkEnd w:id="16"/>
          </w:p>
          <w:p w:rsidR="0092555B" w:rsidRPr="0092555B" w:rsidRDefault="0092555B" w:rsidP="0092555B">
            <w:pPr>
              <w:bidi/>
              <w:rPr>
                <w:rtl/>
              </w:rPr>
            </w:pPr>
            <w:r w:rsidRPr="0092555B">
              <w:rPr>
                <w:b/>
                <w:bCs/>
                <w:rtl/>
                <w:lang w:bidi="ar-DZ"/>
              </w:rPr>
              <w:t>المسرحية </w:t>
            </w:r>
            <w:r w:rsidRPr="0092555B">
              <w:rPr>
                <w:rtl/>
                <w:lang w:bidi="ar-DZ"/>
              </w:rPr>
              <w:t>:«</w:t>
            </w:r>
            <w:r w:rsidRPr="0092555B">
              <w:t> </w:t>
            </w:r>
            <w:r w:rsidRPr="0092555B">
              <w:rPr>
                <w:rtl/>
                <w:lang w:bidi="ar-DZ"/>
              </w:rPr>
              <w:t xml:space="preserve">قصة </w:t>
            </w:r>
            <w:proofErr w:type="spellStart"/>
            <w:r w:rsidRPr="0092555B">
              <w:rPr>
                <w:rtl/>
                <w:lang w:bidi="ar-DZ"/>
              </w:rPr>
              <w:t>تمثل</w:t>
            </w:r>
            <w:proofErr w:type="gramStart"/>
            <w:r w:rsidRPr="0092555B">
              <w:rPr>
                <w:rtl/>
                <w:lang w:bidi="ar-DZ"/>
              </w:rPr>
              <w:t>،ولها</w:t>
            </w:r>
            <w:proofErr w:type="spellEnd"/>
            <w:proofErr w:type="gramEnd"/>
            <w:r w:rsidRPr="0092555B">
              <w:rPr>
                <w:rtl/>
                <w:lang w:bidi="ar-DZ"/>
              </w:rPr>
              <w:t xml:space="preserve"> قواعدها </w:t>
            </w:r>
            <w:proofErr w:type="spellStart"/>
            <w:r w:rsidRPr="0092555B">
              <w:rPr>
                <w:rtl/>
                <w:lang w:bidi="ar-DZ"/>
              </w:rPr>
              <w:t>وأصولها،فأساس</w:t>
            </w:r>
            <w:proofErr w:type="spellEnd"/>
            <w:r w:rsidRPr="0092555B">
              <w:rPr>
                <w:rtl/>
                <w:lang w:bidi="ar-DZ"/>
              </w:rPr>
              <w:t xml:space="preserve"> المسرحية هو نصّ </w:t>
            </w:r>
            <w:proofErr w:type="spellStart"/>
            <w:r w:rsidRPr="0092555B">
              <w:rPr>
                <w:rtl/>
                <w:lang w:bidi="ar-DZ"/>
              </w:rPr>
              <w:t>للعرض،لا</w:t>
            </w:r>
            <w:proofErr w:type="spellEnd"/>
            <w:r w:rsidRPr="0092555B">
              <w:rPr>
                <w:rtl/>
                <w:lang w:bidi="ar-DZ"/>
              </w:rPr>
              <w:t xml:space="preserve"> القراءة .»</w:t>
            </w:r>
            <w:bookmarkStart w:id="17" w:name="_ftnref17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"_ftn17"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[17]</w:t>
            </w:r>
            <w:r w:rsidRPr="0092555B">
              <w:rPr>
                <w:rtl/>
              </w:rPr>
              <w:fldChar w:fldCharType="end"/>
            </w:r>
            <w:bookmarkEnd w:id="17"/>
          </w:p>
          <w:p w:rsidR="0092555B" w:rsidRPr="0092555B" w:rsidRDefault="0092555B" w:rsidP="0092555B">
            <w:pPr>
              <w:bidi/>
              <w:rPr>
                <w:rtl/>
              </w:rPr>
            </w:pPr>
            <w:proofErr w:type="spellStart"/>
            <w:r w:rsidRPr="0092555B">
              <w:rPr>
                <w:b/>
                <w:bCs/>
                <w:rtl/>
                <w:lang w:bidi="ar-DZ"/>
              </w:rPr>
              <w:t>المقال</w:t>
            </w:r>
            <w:r w:rsidRPr="0092555B">
              <w:rPr>
                <w:rtl/>
                <w:lang w:bidi="ar-DZ"/>
              </w:rPr>
              <w:t>:«قطعة</w:t>
            </w:r>
            <w:proofErr w:type="spellEnd"/>
            <w:r w:rsidRPr="0092555B">
              <w:rPr>
                <w:rtl/>
                <w:lang w:bidi="ar-DZ"/>
              </w:rPr>
              <w:t xml:space="preserve"> نثرية محدودة الطول </w:t>
            </w:r>
            <w:proofErr w:type="spellStart"/>
            <w:r w:rsidRPr="0092555B">
              <w:rPr>
                <w:rtl/>
                <w:lang w:bidi="ar-DZ"/>
              </w:rPr>
              <w:t>والموضوع،تُكتب</w:t>
            </w:r>
            <w:proofErr w:type="spellEnd"/>
            <w:r w:rsidRPr="0092555B">
              <w:rPr>
                <w:rtl/>
                <w:lang w:bidi="ar-DZ"/>
              </w:rPr>
              <w:t xml:space="preserve"> بطريقة عفوية سريعة خالية من الكلفة والرهق.»</w:t>
            </w:r>
            <w:bookmarkStart w:id="18" w:name="_ftnref18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"_ftn18"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[18]</w:t>
            </w:r>
            <w:r w:rsidRPr="0092555B">
              <w:rPr>
                <w:rtl/>
              </w:rPr>
              <w:fldChar w:fldCharType="end"/>
            </w:r>
            <w:bookmarkEnd w:id="18"/>
          </w:p>
          <w:p w:rsidR="0092555B" w:rsidRPr="0092555B" w:rsidRDefault="0092555B" w:rsidP="0092555B">
            <w:pPr>
              <w:bidi/>
            </w:pPr>
            <w:r w:rsidRPr="0092555B">
              <w:rPr>
                <w:b/>
                <w:bCs/>
                <w:rtl/>
                <w:lang w:bidi="ar-DZ"/>
              </w:rPr>
              <w:t>السيرة الذاتية :</w:t>
            </w:r>
            <w:r w:rsidRPr="0092555B">
              <w:rPr>
                <w:rtl/>
                <w:lang w:bidi="ar-DZ"/>
              </w:rPr>
              <w:t xml:space="preserve"> :«حكي </w:t>
            </w:r>
            <w:proofErr w:type="spellStart"/>
            <w:r w:rsidRPr="0092555B">
              <w:rPr>
                <w:rtl/>
                <w:lang w:bidi="ar-DZ"/>
              </w:rPr>
              <w:t>استعادي</w:t>
            </w:r>
            <w:proofErr w:type="spellEnd"/>
            <w:r w:rsidRPr="0092555B">
              <w:rPr>
                <w:rtl/>
                <w:lang w:bidi="ar-DZ"/>
              </w:rPr>
              <w:t xml:space="preserve"> نثري يقوم به شخص واقعي عن وجوده </w:t>
            </w:r>
            <w:proofErr w:type="spellStart"/>
            <w:r w:rsidRPr="0092555B">
              <w:rPr>
                <w:rtl/>
                <w:lang w:bidi="ar-DZ"/>
              </w:rPr>
              <w:t>الخاص،وذلك</w:t>
            </w:r>
            <w:proofErr w:type="spellEnd"/>
            <w:r w:rsidRPr="0092555B">
              <w:rPr>
                <w:rtl/>
                <w:lang w:bidi="ar-DZ"/>
              </w:rPr>
              <w:t xml:space="preserve"> عندما يركز على حياته الفردية وعلى تاريخ شخصيته، بصفة خاصة»</w:t>
            </w:r>
            <w:bookmarkStart w:id="19" w:name="_ftnref19"/>
            <w:r w:rsidRPr="0092555B">
              <w:rPr>
                <w:rtl/>
                <w:lang w:bidi="ar-DZ"/>
              </w:rPr>
              <w:fldChar w:fldCharType="begin"/>
            </w:r>
            <w:r w:rsidRPr="0092555B">
              <w:rPr>
                <w:rtl/>
                <w:lang w:bidi="ar-DZ"/>
              </w:rPr>
              <w:instrText xml:space="preserve"> </w:instrText>
            </w:r>
            <w:r w:rsidRPr="0092555B">
              <w:instrText>HYPERLINK "file:///C:\\Users\\DELL\\Desktop\\%D9%86%D9%82%D8%AF%20%D8%A7%D9%84%D9%86%D8%AB%D8%B1%20%D8%A7%D9%84%D8%B9%D8%B1%D8%A8%D9%8A%20%D8%A7%D9%84%D8%AD%D8%AF%D9%8A%D8%AB%20%D9%88%D8%A7%D9%84%D9%85%D8%B9%D8%A7%D8%B5%D8%B1.docx" \l "_ftn19" \o</w:instrText>
            </w:r>
            <w:r w:rsidRPr="0092555B">
              <w:rPr>
                <w:rtl/>
                <w:lang w:bidi="ar-DZ"/>
              </w:rPr>
              <w:instrText xml:space="preserve"> "" </w:instrText>
            </w:r>
            <w:r w:rsidRPr="0092555B">
              <w:rPr>
                <w:rtl/>
                <w:lang w:bidi="ar-DZ"/>
              </w:rPr>
              <w:fldChar w:fldCharType="separate"/>
            </w:r>
            <w:r w:rsidRPr="0092555B">
              <w:rPr>
                <w:rStyle w:val="Lienhypertexte"/>
              </w:rPr>
              <w:t>[19]</w:t>
            </w:r>
            <w:r w:rsidRPr="0092555B">
              <w:rPr>
                <w:rtl/>
              </w:rPr>
              <w:fldChar w:fldCharType="end"/>
            </w:r>
            <w:bookmarkEnd w:id="19"/>
          </w:p>
        </w:tc>
      </w:tr>
    </w:tbl>
    <w:p w:rsidR="0092555B" w:rsidRDefault="0092555B" w:rsidP="0092555B">
      <w:pPr>
        <w:bidi/>
        <w:rPr>
          <w:rFonts w:hint="cs"/>
          <w:rtl/>
          <w:lang w:bidi="ar-DZ"/>
        </w:rPr>
      </w:pPr>
      <w:r>
        <w:t>1</w:t>
      </w:r>
      <w:r w:rsidRPr="0092555B">
        <w:t> </w:t>
      </w:r>
      <w:r>
        <w:t>*********************************************************************************************</w:t>
      </w:r>
      <w:r>
        <w:rPr>
          <w:rFonts w:hint="cs"/>
          <w:rtl/>
        </w:rPr>
        <w:t>الهوامش***********************</w:t>
      </w:r>
    </w:p>
    <w:p w:rsidR="0092555B" w:rsidRPr="0092555B" w:rsidRDefault="0092555B" w:rsidP="0092555B">
      <w:pPr>
        <w:bidi/>
      </w:pPr>
      <w:r>
        <w:t>1</w:t>
      </w:r>
      <w:r w:rsidRPr="0092555B">
        <w:rPr>
          <w:rtl/>
        </w:rPr>
        <w:t xml:space="preserve">محمد </w:t>
      </w:r>
      <w:proofErr w:type="spellStart"/>
      <w:r w:rsidRPr="0092555B">
        <w:rPr>
          <w:rtl/>
        </w:rPr>
        <w:t>التونجي،المعجم</w:t>
      </w:r>
      <w:proofErr w:type="spellEnd"/>
      <w:r w:rsidRPr="0092555B">
        <w:rPr>
          <w:rtl/>
        </w:rPr>
        <w:t xml:space="preserve"> المفصل في </w:t>
      </w:r>
      <w:proofErr w:type="spellStart"/>
      <w:r w:rsidRPr="0092555B">
        <w:rPr>
          <w:rtl/>
        </w:rPr>
        <w:t>الأدب،دار</w:t>
      </w:r>
      <w:proofErr w:type="spellEnd"/>
      <w:r w:rsidRPr="0092555B">
        <w:rPr>
          <w:rtl/>
        </w:rPr>
        <w:t xml:space="preserve"> الكتب </w:t>
      </w:r>
      <w:proofErr w:type="gramStart"/>
      <w:r w:rsidRPr="0092555B">
        <w:rPr>
          <w:rtl/>
        </w:rPr>
        <w:t>العلمية(</w:t>
      </w:r>
      <w:proofErr w:type="gramEnd"/>
      <w:r w:rsidRPr="0092555B">
        <w:rPr>
          <w:rtl/>
        </w:rPr>
        <w:t>لبنان)،ط2،1999،ج،2</w:t>
      </w:r>
      <w:r w:rsidRPr="0092555B">
        <w:rPr>
          <w:rtl/>
          <w:lang w:bidi="ar-DZ"/>
        </w:rPr>
        <w:t>ص.864</w:t>
      </w:r>
    </w:p>
    <w:bookmarkStart w:id="20" w:name="_ftn2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"_ftnref2"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[2]</w:t>
      </w:r>
      <w:r w:rsidRPr="0092555B">
        <w:rPr>
          <w:rtl/>
        </w:rPr>
        <w:fldChar w:fldCharType="end"/>
      </w:r>
      <w:bookmarkEnd w:id="20"/>
      <w:r w:rsidRPr="0092555B">
        <w:t> </w:t>
      </w:r>
      <w:r w:rsidRPr="0092555B">
        <w:rPr>
          <w:rtl/>
        </w:rPr>
        <w:t xml:space="preserve">شوقي </w:t>
      </w:r>
      <w:proofErr w:type="spellStart"/>
      <w:r w:rsidRPr="0092555B">
        <w:rPr>
          <w:rtl/>
        </w:rPr>
        <w:t>ضيف،الفن</w:t>
      </w:r>
      <w:proofErr w:type="spellEnd"/>
      <w:r w:rsidRPr="0092555B">
        <w:rPr>
          <w:rtl/>
        </w:rPr>
        <w:t xml:space="preserve"> ومذاهبه في النثر </w:t>
      </w:r>
      <w:proofErr w:type="spellStart"/>
      <w:r w:rsidRPr="0092555B">
        <w:rPr>
          <w:rtl/>
        </w:rPr>
        <w:t>العربي،دار</w:t>
      </w:r>
      <w:proofErr w:type="spellEnd"/>
      <w:r w:rsidRPr="0092555B">
        <w:rPr>
          <w:rtl/>
        </w:rPr>
        <w:t xml:space="preserve"> </w:t>
      </w:r>
      <w:proofErr w:type="gramStart"/>
      <w:r w:rsidRPr="0092555B">
        <w:rPr>
          <w:rtl/>
        </w:rPr>
        <w:t>المعارف(</w:t>
      </w:r>
      <w:proofErr w:type="gramEnd"/>
      <w:r w:rsidRPr="0092555B">
        <w:rPr>
          <w:rtl/>
        </w:rPr>
        <w:t>مصر)، ط 10،1983، </w:t>
      </w:r>
      <w:r w:rsidRPr="0092555B">
        <w:rPr>
          <w:rtl/>
          <w:lang w:bidi="ar-DZ"/>
        </w:rPr>
        <w:t>ص.15</w:t>
      </w:r>
    </w:p>
    <w:bookmarkStart w:id="21" w:name="_ftn3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"_ftnref3"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[3]</w:t>
      </w:r>
      <w:r w:rsidRPr="0092555B">
        <w:rPr>
          <w:rtl/>
        </w:rPr>
        <w:fldChar w:fldCharType="end"/>
      </w:r>
      <w:bookmarkEnd w:id="21"/>
      <w:r w:rsidRPr="0092555B">
        <w:t> </w:t>
      </w:r>
      <w:r w:rsidRPr="0092555B">
        <w:rPr>
          <w:rtl/>
        </w:rPr>
        <w:t xml:space="preserve">عبد العزيز شبيل، الأجناس الأدبية في التراث </w:t>
      </w:r>
      <w:proofErr w:type="spellStart"/>
      <w:r w:rsidRPr="0092555B">
        <w:rPr>
          <w:rtl/>
        </w:rPr>
        <w:t>النثري،جدلية</w:t>
      </w:r>
      <w:proofErr w:type="spellEnd"/>
      <w:r w:rsidRPr="0092555B">
        <w:rPr>
          <w:rtl/>
        </w:rPr>
        <w:t xml:space="preserve"> الحضور </w:t>
      </w:r>
      <w:proofErr w:type="spellStart"/>
      <w:r w:rsidRPr="0092555B">
        <w:rPr>
          <w:rtl/>
        </w:rPr>
        <w:t>والغياب،دار</w:t>
      </w:r>
      <w:proofErr w:type="spellEnd"/>
      <w:r w:rsidRPr="0092555B">
        <w:rPr>
          <w:rtl/>
        </w:rPr>
        <w:t xml:space="preserve"> محمد علي </w:t>
      </w:r>
      <w:proofErr w:type="gramStart"/>
      <w:r w:rsidRPr="0092555B">
        <w:rPr>
          <w:rtl/>
        </w:rPr>
        <w:t>الحامي(</w:t>
      </w:r>
      <w:proofErr w:type="gramEnd"/>
      <w:r w:rsidRPr="0092555B">
        <w:rPr>
          <w:rtl/>
        </w:rPr>
        <w:t>تونس)، ط 1،2001،ص.465</w:t>
      </w:r>
    </w:p>
    <w:bookmarkStart w:id="22" w:name="_ftn4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"_ftnref4"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[4]</w:t>
      </w:r>
      <w:r w:rsidRPr="0092555B">
        <w:rPr>
          <w:rtl/>
        </w:rPr>
        <w:fldChar w:fldCharType="end"/>
      </w:r>
      <w:bookmarkEnd w:id="22"/>
      <w:r w:rsidRPr="0092555B">
        <w:t> </w:t>
      </w:r>
      <w:r w:rsidRPr="0092555B">
        <w:rPr>
          <w:rtl/>
        </w:rPr>
        <w:t xml:space="preserve">محمد مفتاح، مجهول </w:t>
      </w:r>
      <w:proofErr w:type="spellStart"/>
      <w:r w:rsidRPr="0092555B">
        <w:rPr>
          <w:rtl/>
        </w:rPr>
        <w:t>البيان،دار</w:t>
      </w:r>
      <w:proofErr w:type="spellEnd"/>
      <w:r w:rsidRPr="0092555B">
        <w:rPr>
          <w:rtl/>
        </w:rPr>
        <w:t xml:space="preserve"> توبقال</w:t>
      </w:r>
      <w:proofErr w:type="gramStart"/>
      <w:r w:rsidRPr="0092555B">
        <w:rPr>
          <w:rtl/>
        </w:rPr>
        <w:t>،(</w:t>
      </w:r>
      <w:proofErr w:type="gramEnd"/>
      <w:r w:rsidRPr="0092555B">
        <w:rPr>
          <w:rtl/>
        </w:rPr>
        <w:t>المغرب) ،ط1،1990،</w:t>
      </w:r>
      <w:r w:rsidRPr="0092555B">
        <w:rPr>
          <w:rtl/>
          <w:lang w:bidi="ar-DZ"/>
        </w:rPr>
        <w:t>ص.17</w:t>
      </w:r>
    </w:p>
    <w:p w:rsidR="0092555B" w:rsidRPr="0092555B" w:rsidRDefault="0092555B" w:rsidP="0092555B">
      <w:pPr>
        <w:bidi/>
        <w:rPr>
          <w:rtl/>
        </w:rPr>
      </w:pPr>
      <w:bookmarkStart w:id="23" w:name="_ftn5"/>
      <w:bookmarkEnd w:id="23"/>
      <w:proofErr w:type="gramStart"/>
      <w:r w:rsidRPr="0092555B">
        <w:t>»[</w:t>
      </w:r>
      <w:proofErr w:type="gramEnd"/>
      <w:r w:rsidRPr="0092555B">
        <w:t>5]</w:t>
      </w:r>
      <w:r w:rsidRPr="0092555B">
        <w:rPr>
          <w:rtl/>
        </w:rPr>
        <w:t> </w:t>
      </w:r>
      <w:r w:rsidRPr="0092555B">
        <w:rPr>
          <w:rFonts w:hint="cs"/>
          <w:rtl/>
        </w:rPr>
        <w:t>ومع ذلك فإنّ مفهوم الجنس يفتقر إلى نوع من الدقة المصطلحية،</w:t>
      </w:r>
      <w:r w:rsidRPr="0092555B">
        <w:rPr>
          <w:rtl/>
        </w:rPr>
        <w:t> إذ ماهي الحدود أو الفوارق بين الجنس</w:t>
      </w:r>
      <w:r w:rsidRPr="0092555B">
        <w:t>Genre </w:t>
      </w:r>
      <w:r w:rsidRPr="0092555B">
        <w:rPr>
          <w:rtl/>
          <w:lang w:bidi="ar-DZ"/>
        </w:rPr>
        <w:t>والنوع </w:t>
      </w:r>
      <w:r w:rsidRPr="0092555B">
        <w:t>Espèce </w:t>
      </w:r>
      <w:r w:rsidRPr="0092555B">
        <w:rPr>
          <w:rtl/>
        </w:rPr>
        <w:t>والفصيلة</w:t>
      </w:r>
      <w:r w:rsidRPr="0092555B">
        <w:t>Classe</w:t>
      </w:r>
      <w:r w:rsidRPr="0092555B">
        <w:rPr>
          <w:rtl/>
        </w:rPr>
        <w:t> </w:t>
      </w:r>
      <w:r w:rsidRPr="0092555B">
        <w:rPr>
          <w:rtl/>
          <w:lang w:bidi="ar-DZ"/>
        </w:rPr>
        <w:t>والصنف </w:t>
      </w:r>
      <w:r w:rsidRPr="0092555B">
        <w:t>Catégorie</w:t>
      </w:r>
      <w:r w:rsidRPr="0092555B">
        <w:rPr>
          <w:rtl/>
        </w:rPr>
        <w:t> </w:t>
      </w:r>
      <w:r w:rsidRPr="0092555B">
        <w:rPr>
          <w:rtl/>
          <w:lang w:bidi="ar-DZ"/>
        </w:rPr>
        <w:t>والجنيس أو الجنس الفرعي</w:t>
      </w:r>
      <w:r w:rsidRPr="0092555B">
        <w:t> Genre</w:t>
      </w:r>
      <w:r w:rsidRPr="0092555B">
        <w:rPr>
          <w:rtl/>
        </w:rPr>
        <w:t> </w:t>
      </w:r>
      <w:r w:rsidRPr="0092555B">
        <w:t>«Sous</w:t>
      </w:r>
      <w:proofErr w:type="spellStart"/>
      <w:r w:rsidRPr="0092555B">
        <w:rPr>
          <w:rtl/>
        </w:rPr>
        <w:t>ينظر:رشيد</w:t>
      </w:r>
      <w:proofErr w:type="spellEnd"/>
      <w:r w:rsidRPr="0092555B">
        <w:rPr>
          <w:rtl/>
        </w:rPr>
        <w:t xml:space="preserve"> </w:t>
      </w:r>
      <w:proofErr w:type="spellStart"/>
      <w:r w:rsidRPr="0092555B">
        <w:rPr>
          <w:rtl/>
        </w:rPr>
        <w:t>وديجي،قراءة</w:t>
      </w:r>
      <w:proofErr w:type="spellEnd"/>
      <w:r w:rsidRPr="0092555B">
        <w:rPr>
          <w:rtl/>
        </w:rPr>
        <w:t xml:space="preserve"> في إشكالية نظرية الأجناس </w:t>
      </w:r>
      <w:proofErr w:type="spellStart"/>
      <w:r w:rsidRPr="0092555B">
        <w:rPr>
          <w:rtl/>
        </w:rPr>
        <w:t>الأدبية،ملاحظات</w:t>
      </w:r>
      <w:proofErr w:type="spellEnd"/>
      <w:r w:rsidRPr="0092555B">
        <w:rPr>
          <w:rtl/>
        </w:rPr>
        <w:t xml:space="preserve"> </w:t>
      </w:r>
      <w:proofErr w:type="spellStart"/>
      <w:r w:rsidRPr="0092555B">
        <w:rPr>
          <w:rtl/>
        </w:rPr>
        <w:t>أساسية،حوليات</w:t>
      </w:r>
      <w:proofErr w:type="spellEnd"/>
      <w:r w:rsidRPr="0092555B">
        <w:rPr>
          <w:rtl/>
        </w:rPr>
        <w:t xml:space="preserve"> الآداب واللّغات،ع1،مج،2،2013،</w:t>
      </w:r>
      <w:r w:rsidRPr="0092555B">
        <w:rPr>
          <w:rtl/>
          <w:lang w:bidi="ar-DZ"/>
        </w:rPr>
        <w:t>ص.275</w:t>
      </w:r>
    </w:p>
    <w:bookmarkStart w:id="24" w:name="_ftn6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"_ftnref6"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[6]</w:t>
      </w:r>
      <w:r w:rsidRPr="0092555B">
        <w:rPr>
          <w:rtl/>
        </w:rPr>
        <w:fldChar w:fldCharType="end"/>
      </w:r>
      <w:bookmarkEnd w:id="24"/>
      <w:r w:rsidRPr="0092555B">
        <w:rPr>
          <w:rtl/>
        </w:rPr>
        <w:t xml:space="preserve">  قدامة بن جعفر أبي الفرج ، نقد الشعر، </w:t>
      </w:r>
      <w:proofErr w:type="spellStart"/>
      <w:r w:rsidRPr="0092555B">
        <w:rPr>
          <w:rtl/>
        </w:rPr>
        <w:t>د.د</w:t>
      </w:r>
      <w:proofErr w:type="spellEnd"/>
      <w:r w:rsidRPr="0092555B">
        <w:rPr>
          <w:rtl/>
        </w:rPr>
        <w:t xml:space="preserve">، قسطنطينية، </w:t>
      </w:r>
      <w:proofErr w:type="spellStart"/>
      <w:r w:rsidRPr="0092555B">
        <w:rPr>
          <w:rtl/>
        </w:rPr>
        <w:t>م.الجوائب</w:t>
      </w:r>
      <w:proofErr w:type="spellEnd"/>
      <w:r w:rsidRPr="0092555B">
        <w:rPr>
          <w:rtl/>
        </w:rPr>
        <w:t>، ط1، 1302، ص3.  </w:t>
      </w:r>
    </w:p>
    <w:bookmarkStart w:id="25" w:name="_ftn7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"_ftnref7"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[7]</w:t>
      </w:r>
      <w:r w:rsidRPr="0092555B">
        <w:rPr>
          <w:rtl/>
        </w:rPr>
        <w:fldChar w:fldCharType="end"/>
      </w:r>
      <w:bookmarkEnd w:id="25"/>
      <w:r w:rsidRPr="0092555B">
        <w:t> </w:t>
      </w:r>
      <w:r w:rsidRPr="0092555B">
        <w:rPr>
          <w:rtl/>
        </w:rPr>
        <w:t xml:space="preserve">علي حب </w:t>
      </w:r>
      <w:proofErr w:type="spellStart"/>
      <w:r w:rsidRPr="0092555B">
        <w:rPr>
          <w:rtl/>
        </w:rPr>
        <w:t>الله،المقدّمة</w:t>
      </w:r>
      <w:proofErr w:type="spellEnd"/>
      <w:r w:rsidRPr="0092555B">
        <w:rPr>
          <w:rtl/>
        </w:rPr>
        <w:t xml:space="preserve"> في النثر </w:t>
      </w:r>
      <w:proofErr w:type="spellStart"/>
      <w:r w:rsidRPr="0092555B">
        <w:rPr>
          <w:rtl/>
        </w:rPr>
        <w:t>العربي،مشروع</w:t>
      </w:r>
      <w:proofErr w:type="spellEnd"/>
      <w:r w:rsidRPr="0092555B">
        <w:rPr>
          <w:rtl/>
        </w:rPr>
        <w:t xml:space="preserve"> رؤية </w:t>
      </w:r>
      <w:proofErr w:type="spellStart"/>
      <w:r w:rsidRPr="0092555B">
        <w:rPr>
          <w:rtl/>
        </w:rPr>
        <w:t>جديدة،في</w:t>
      </w:r>
      <w:proofErr w:type="spellEnd"/>
      <w:r w:rsidRPr="0092555B">
        <w:rPr>
          <w:rtl/>
        </w:rPr>
        <w:t xml:space="preserve"> تقنيات البحث </w:t>
      </w:r>
      <w:proofErr w:type="spellStart"/>
      <w:r w:rsidRPr="0092555B">
        <w:rPr>
          <w:rtl/>
        </w:rPr>
        <w:t>والكتابة،دار</w:t>
      </w:r>
      <w:proofErr w:type="spellEnd"/>
      <w:r w:rsidRPr="0092555B">
        <w:rPr>
          <w:rtl/>
        </w:rPr>
        <w:t xml:space="preserve"> </w:t>
      </w:r>
      <w:proofErr w:type="gramStart"/>
      <w:r w:rsidRPr="0092555B">
        <w:rPr>
          <w:rtl/>
        </w:rPr>
        <w:t>الهادي(</w:t>
      </w:r>
      <w:proofErr w:type="gramEnd"/>
      <w:r w:rsidRPr="0092555B">
        <w:rPr>
          <w:rtl/>
        </w:rPr>
        <w:t>لبنان) ،ط 1،2001، </w:t>
      </w:r>
      <w:r w:rsidRPr="0092555B">
        <w:rPr>
          <w:rtl/>
          <w:lang w:bidi="ar-DZ"/>
        </w:rPr>
        <w:t>ص.291</w:t>
      </w:r>
    </w:p>
    <w:bookmarkStart w:id="26" w:name="_ftn8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"_ftnref8"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[8]</w:t>
      </w:r>
      <w:r w:rsidRPr="0092555B">
        <w:rPr>
          <w:rtl/>
        </w:rPr>
        <w:fldChar w:fldCharType="end"/>
      </w:r>
      <w:bookmarkEnd w:id="26"/>
      <w:r w:rsidRPr="0092555B">
        <w:t> </w:t>
      </w:r>
      <w:r w:rsidRPr="0092555B">
        <w:rPr>
          <w:rtl/>
        </w:rPr>
        <w:t xml:space="preserve">شوقي </w:t>
      </w:r>
      <w:proofErr w:type="spellStart"/>
      <w:r w:rsidRPr="0092555B">
        <w:rPr>
          <w:rtl/>
        </w:rPr>
        <w:t>ضيف،المرجع</w:t>
      </w:r>
      <w:proofErr w:type="spellEnd"/>
      <w:r w:rsidRPr="0092555B">
        <w:rPr>
          <w:rtl/>
        </w:rPr>
        <w:t xml:space="preserve"> السابق،ص.20</w:t>
      </w:r>
    </w:p>
    <w:bookmarkStart w:id="27" w:name="_ftn9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"_ftnref9"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[9]</w:t>
      </w:r>
      <w:r w:rsidRPr="0092555B">
        <w:rPr>
          <w:rtl/>
        </w:rPr>
        <w:fldChar w:fldCharType="end"/>
      </w:r>
      <w:bookmarkEnd w:id="27"/>
      <w:r w:rsidRPr="0092555B">
        <w:t> </w:t>
      </w:r>
      <w:r w:rsidRPr="0092555B">
        <w:rPr>
          <w:rtl/>
        </w:rPr>
        <w:t> </w:t>
      </w:r>
      <w:r w:rsidRPr="0092555B">
        <w:rPr>
          <w:rFonts w:hint="cs"/>
          <w:rtl/>
        </w:rPr>
        <w:t xml:space="preserve">مالك محمد جمال بني </w:t>
      </w:r>
      <w:proofErr w:type="spellStart"/>
      <w:r w:rsidRPr="0092555B">
        <w:rPr>
          <w:rFonts w:hint="cs"/>
          <w:rtl/>
        </w:rPr>
        <w:t>عط،السجع</w:t>
      </w:r>
      <w:proofErr w:type="spellEnd"/>
      <w:r w:rsidRPr="0092555B">
        <w:rPr>
          <w:rFonts w:hint="cs"/>
          <w:rtl/>
        </w:rPr>
        <w:t xml:space="preserve"> في العصر </w:t>
      </w:r>
      <w:proofErr w:type="spellStart"/>
      <w:r w:rsidRPr="0092555B">
        <w:rPr>
          <w:rFonts w:hint="cs"/>
          <w:rtl/>
        </w:rPr>
        <w:t>الجاهلي،أطروحة</w:t>
      </w:r>
      <w:proofErr w:type="spellEnd"/>
      <w:r w:rsidRPr="0092555B">
        <w:rPr>
          <w:rFonts w:hint="cs"/>
          <w:rtl/>
        </w:rPr>
        <w:t xml:space="preserve"> </w:t>
      </w:r>
      <w:proofErr w:type="spellStart"/>
      <w:r w:rsidRPr="0092555B">
        <w:rPr>
          <w:rFonts w:hint="cs"/>
          <w:rtl/>
        </w:rPr>
        <w:t>دكتوراة،جامعة</w:t>
      </w:r>
      <w:proofErr w:type="spellEnd"/>
      <w:r w:rsidRPr="0092555B">
        <w:rPr>
          <w:rFonts w:hint="cs"/>
          <w:rtl/>
        </w:rPr>
        <w:t xml:space="preserve"> </w:t>
      </w:r>
      <w:proofErr w:type="spellStart"/>
      <w:r w:rsidRPr="0092555B">
        <w:rPr>
          <w:rFonts w:hint="cs"/>
          <w:rtl/>
        </w:rPr>
        <w:t>مؤتة،كلية</w:t>
      </w:r>
      <w:proofErr w:type="spellEnd"/>
      <w:r w:rsidRPr="0092555B">
        <w:rPr>
          <w:rFonts w:hint="cs"/>
          <w:rtl/>
        </w:rPr>
        <w:t xml:space="preserve"> الآداب، قسم اللغة العربية،2011،ص.42</w:t>
      </w:r>
    </w:p>
    <w:bookmarkStart w:id="28" w:name="_ftn10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"_ftnref10"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[10]</w:t>
      </w:r>
      <w:r w:rsidRPr="0092555B">
        <w:rPr>
          <w:rtl/>
        </w:rPr>
        <w:fldChar w:fldCharType="end"/>
      </w:r>
      <w:bookmarkEnd w:id="28"/>
      <w:r w:rsidRPr="0092555B">
        <w:t> </w:t>
      </w:r>
      <w:proofErr w:type="spellStart"/>
      <w:r w:rsidRPr="0092555B">
        <w:rPr>
          <w:rtl/>
        </w:rPr>
        <w:t>ينظر:محمد</w:t>
      </w:r>
      <w:proofErr w:type="spellEnd"/>
      <w:r w:rsidRPr="0092555B">
        <w:rPr>
          <w:rtl/>
        </w:rPr>
        <w:t xml:space="preserve"> أبو </w:t>
      </w:r>
      <w:proofErr w:type="spellStart"/>
      <w:r w:rsidRPr="0092555B">
        <w:rPr>
          <w:rtl/>
        </w:rPr>
        <w:t>زهرة،الخطابة،أصولها</w:t>
      </w:r>
      <w:proofErr w:type="spellEnd"/>
      <w:r w:rsidRPr="0092555B">
        <w:rPr>
          <w:rtl/>
        </w:rPr>
        <w:t xml:space="preserve"> تاريخها في أزهر عصورها عند </w:t>
      </w:r>
      <w:proofErr w:type="spellStart"/>
      <w:r w:rsidRPr="0092555B">
        <w:rPr>
          <w:rtl/>
        </w:rPr>
        <w:t>العرب،دار</w:t>
      </w:r>
      <w:proofErr w:type="spellEnd"/>
      <w:r w:rsidRPr="0092555B">
        <w:rPr>
          <w:rtl/>
        </w:rPr>
        <w:t xml:space="preserve"> الفكر </w:t>
      </w:r>
      <w:proofErr w:type="gramStart"/>
      <w:r w:rsidRPr="0092555B">
        <w:rPr>
          <w:rtl/>
        </w:rPr>
        <w:t>العربي(</w:t>
      </w:r>
      <w:proofErr w:type="gramEnd"/>
      <w:r w:rsidRPr="0092555B">
        <w:rPr>
          <w:rtl/>
        </w:rPr>
        <w:t>مصر)،ط1،دت،ص.15</w:t>
      </w:r>
    </w:p>
    <w:bookmarkStart w:id="29" w:name="_ftn11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"_ftnref11"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[11]</w:t>
      </w:r>
      <w:r w:rsidRPr="0092555B">
        <w:rPr>
          <w:rtl/>
        </w:rPr>
        <w:fldChar w:fldCharType="end"/>
      </w:r>
      <w:bookmarkEnd w:id="29"/>
      <w:r w:rsidRPr="0092555B">
        <w:t> </w:t>
      </w:r>
      <w:proofErr w:type="spellStart"/>
      <w:r w:rsidRPr="0092555B">
        <w:rPr>
          <w:rtl/>
          <w:lang w:bidi="ar-DZ"/>
        </w:rPr>
        <w:t>ينظر:عبد</w:t>
      </w:r>
      <w:proofErr w:type="spellEnd"/>
      <w:r w:rsidRPr="0092555B">
        <w:rPr>
          <w:rtl/>
          <w:lang w:bidi="ar-DZ"/>
        </w:rPr>
        <w:t xml:space="preserve"> المالك </w:t>
      </w:r>
      <w:proofErr w:type="spellStart"/>
      <w:r w:rsidRPr="0092555B">
        <w:rPr>
          <w:rtl/>
          <w:lang w:bidi="ar-DZ"/>
        </w:rPr>
        <w:t>مرتاض،فن</w:t>
      </w:r>
      <w:proofErr w:type="spellEnd"/>
      <w:r w:rsidRPr="0092555B">
        <w:rPr>
          <w:rtl/>
          <w:lang w:bidi="ar-DZ"/>
        </w:rPr>
        <w:t xml:space="preserve"> المقامات في الأدب </w:t>
      </w:r>
      <w:proofErr w:type="spellStart"/>
      <w:r w:rsidRPr="0092555B">
        <w:rPr>
          <w:rtl/>
          <w:lang w:bidi="ar-DZ"/>
        </w:rPr>
        <w:t>العربي،الدار</w:t>
      </w:r>
      <w:proofErr w:type="spellEnd"/>
      <w:r w:rsidRPr="0092555B">
        <w:rPr>
          <w:rtl/>
          <w:lang w:bidi="ar-DZ"/>
        </w:rPr>
        <w:t xml:space="preserve"> التونسية </w:t>
      </w:r>
      <w:proofErr w:type="gramStart"/>
      <w:r w:rsidRPr="0092555B">
        <w:rPr>
          <w:rtl/>
          <w:lang w:bidi="ar-DZ"/>
        </w:rPr>
        <w:t>للنشر(</w:t>
      </w:r>
      <w:proofErr w:type="gramEnd"/>
      <w:r w:rsidRPr="0092555B">
        <w:rPr>
          <w:rtl/>
          <w:lang w:bidi="ar-DZ"/>
        </w:rPr>
        <w:t>تونس)/المؤسسة الوطنية للكتاب(الجزائر)،ص. ط2،1988،ص.23</w:t>
      </w:r>
    </w:p>
    <w:bookmarkStart w:id="30" w:name="_ftn12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"_ftnref12"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[12]</w:t>
      </w:r>
      <w:r w:rsidRPr="0092555B">
        <w:rPr>
          <w:rtl/>
        </w:rPr>
        <w:fldChar w:fldCharType="end"/>
      </w:r>
      <w:bookmarkEnd w:id="30"/>
      <w:r w:rsidRPr="0092555B">
        <w:t> </w:t>
      </w:r>
      <w:proofErr w:type="spellStart"/>
      <w:r w:rsidRPr="0092555B">
        <w:rPr>
          <w:rtl/>
        </w:rPr>
        <w:t>يُنظر:حمد</w:t>
      </w:r>
      <w:proofErr w:type="spellEnd"/>
      <w:r w:rsidRPr="0092555B">
        <w:rPr>
          <w:rtl/>
        </w:rPr>
        <w:t xml:space="preserve"> بن ناصر </w:t>
      </w:r>
      <w:proofErr w:type="spellStart"/>
      <w:r w:rsidRPr="0092555B">
        <w:rPr>
          <w:rtl/>
        </w:rPr>
        <w:t>الدخيل،فن</w:t>
      </w:r>
      <w:proofErr w:type="spellEnd"/>
      <w:r w:rsidRPr="0092555B">
        <w:rPr>
          <w:rtl/>
        </w:rPr>
        <w:t xml:space="preserve"> التوقيعات الأدبية في العصر الإسلامي والأموي </w:t>
      </w:r>
      <w:proofErr w:type="spellStart"/>
      <w:r w:rsidRPr="0092555B">
        <w:rPr>
          <w:rtl/>
        </w:rPr>
        <w:t>والعباسي،متاح</w:t>
      </w:r>
      <w:proofErr w:type="spellEnd"/>
      <w:r w:rsidRPr="0092555B">
        <w:rPr>
          <w:rtl/>
        </w:rPr>
        <w:t xml:space="preserve"> على الرابط:</w:t>
      </w:r>
      <w:r w:rsidRPr="0092555B">
        <w:t> archive.org/</w:t>
      </w:r>
      <w:proofErr w:type="spellStart"/>
      <w:r w:rsidRPr="0092555B">
        <w:t>details</w:t>
      </w:r>
      <w:proofErr w:type="spellEnd"/>
      <w:r w:rsidRPr="0092555B">
        <w:t>/4429pdf</w:t>
      </w:r>
      <w:r w:rsidRPr="0092555B">
        <w:rPr>
          <w:rtl/>
        </w:rPr>
        <w:t xml:space="preserve">تاريخ </w:t>
      </w:r>
      <w:proofErr w:type="spellStart"/>
      <w:r w:rsidRPr="0092555B">
        <w:rPr>
          <w:rtl/>
        </w:rPr>
        <w:t>تاريخ</w:t>
      </w:r>
      <w:proofErr w:type="spellEnd"/>
      <w:r w:rsidRPr="0092555B">
        <w:rPr>
          <w:rtl/>
        </w:rPr>
        <w:t xml:space="preserve"> الاطلاع: 18-3-2021</w:t>
      </w:r>
    </w:p>
    <w:bookmarkStart w:id="31" w:name="_ftn13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"_ftnref13"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[13]</w:t>
      </w:r>
      <w:r w:rsidRPr="0092555B">
        <w:rPr>
          <w:rtl/>
        </w:rPr>
        <w:fldChar w:fldCharType="end"/>
      </w:r>
      <w:bookmarkEnd w:id="31"/>
      <w:r w:rsidRPr="0092555B">
        <w:t> </w:t>
      </w:r>
      <w:r w:rsidRPr="0092555B">
        <w:rPr>
          <w:rtl/>
        </w:rPr>
        <w:t xml:space="preserve">فايز عبد النبي فلاح </w:t>
      </w:r>
      <w:proofErr w:type="spellStart"/>
      <w:r w:rsidRPr="0092555B">
        <w:rPr>
          <w:rtl/>
        </w:rPr>
        <w:t>القيسي،أدب</w:t>
      </w:r>
      <w:proofErr w:type="spellEnd"/>
      <w:r w:rsidRPr="0092555B">
        <w:rPr>
          <w:rtl/>
        </w:rPr>
        <w:t xml:space="preserve"> الرسائل في </w:t>
      </w:r>
      <w:proofErr w:type="spellStart"/>
      <w:r w:rsidRPr="0092555B">
        <w:rPr>
          <w:rtl/>
        </w:rPr>
        <w:t>الأندلس،في</w:t>
      </w:r>
      <w:proofErr w:type="spellEnd"/>
      <w:r w:rsidRPr="0092555B">
        <w:rPr>
          <w:rtl/>
        </w:rPr>
        <w:t xml:space="preserve"> القرن الخامس </w:t>
      </w:r>
      <w:proofErr w:type="spellStart"/>
      <w:r w:rsidRPr="0092555B">
        <w:rPr>
          <w:rtl/>
        </w:rPr>
        <w:t>الهجري،دار</w:t>
      </w:r>
      <w:proofErr w:type="spellEnd"/>
      <w:r w:rsidRPr="0092555B">
        <w:rPr>
          <w:rtl/>
        </w:rPr>
        <w:t xml:space="preserve"> </w:t>
      </w:r>
      <w:proofErr w:type="gramStart"/>
      <w:r w:rsidRPr="0092555B">
        <w:rPr>
          <w:rtl/>
        </w:rPr>
        <w:t>البشير(</w:t>
      </w:r>
      <w:proofErr w:type="gramEnd"/>
      <w:r w:rsidRPr="0092555B">
        <w:rPr>
          <w:rtl/>
        </w:rPr>
        <w:t>الأردن) ط 1، 1989،</w:t>
      </w:r>
      <w:r w:rsidRPr="0092555B">
        <w:rPr>
          <w:rtl/>
          <w:lang w:bidi="ar-DZ"/>
        </w:rPr>
        <w:t>ص.83</w:t>
      </w:r>
    </w:p>
    <w:bookmarkStart w:id="32" w:name="_ftn14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"_ftnref14"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[14]</w:t>
      </w:r>
      <w:r w:rsidRPr="0092555B">
        <w:rPr>
          <w:rtl/>
        </w:rPr>
        <w:fldChar w:fldCharType="end"/>
      </w:r>
      <w:bookmarkEnd w:id="32"/>
      <w:r w:rsidRPr="0092555B">
        <w:t> </w:t>
      </w:r>
      <w:r w:rsidRPr="0092555B">
        <w:rPr>
          <w:rtl/>
        </w:rPr>
        <w:t xml:space="preserve">جبور عبد </w:t>
      </w:r>
      <w:proofErr w:type="spellStart"/>
      <w:r w:rsidRPr="0092555B">
        <w:rPr>
          <w:rtl/>
        </w:rPr>
        <w:t>النور،المعجم</w:t>
      </w:r>
      <w:proofErr w:type="spellEnd"/>
      <w:r w:rsidRPr="0092555B">
        <w:rPr>
          <w:rtl/>
        </w:rPr>
        <w:t xml:space="preserve"> </w:t>
      </w:r>
      <w:proofErr w:type="spellStart"/>
      <w:r w:rsidRPr="0092555B">
        <w:rPr>
          <w:rtl/>
        </w:rPr>
        <w:t>الأدبي،دار</w:t>
      </w:r>
      <w:proofErr w:type="spellEnd"/>
      <w:r w:rsidRPr="0092555B">
        <w:rPr>
          <w:rtl/>
        </w:rPr>
        <w:t xml:space="preserve"> العلم </w:t>
      </w:r>
      <w:proofErr w:type="gramStart"/>
      <w:r w:rsidRPr="0092555B">
        <w:rPr>
          <w:rtl/>
        </w:rPr>
        <w:t>للملايين(</w:t>
      </w:r>
      <w:proofErr w:type="gramEnd"/>
      <w:r w:rsidRPr="0092555B">
        <w:rPr>
          <w:rtl/>
        </w:rPr>
        <w:t>لبنان)،ط2،1984 ص.128</w:t>
      </w:r>
    </w:p>
    <w:bookmarkStart w:id="33" w:name="_ftn15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"_ftnref15"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[15]</w:t>
      </w:r>
      <w:r w:rsidRPr="0092555B">
        <w:rPr>
          <w:rtl/>
        </w:rPr>
        <w:fldChar w:fldCharType="end"/>
      </w:r>
      <w:bookmarkEnd w:id="33"/>
      <w:r w:rsidRPr="0092555B">
        <w:t> </w:t>
      </w:r>
      <w:r w:rsidRPr="0092555B">
        <w:rPr>
          <w:rtl/>
        </w:rPr>
        <w:t xml:space="preserve">محمد يوسف </w:t>
      </w:r>
      <w:proofErr w:type="spellStart"/>
      <w:r w:rsidRPr="0092555B">
        <w:rPr>
          <w:rtl/>
        </w:rPr>
        <w:t>نجم،فن</w:t>
      </w:r>
      <w:proofErr w:type="spellEnd"/>
      <w:r w:rsidRPr="0092555B">
        <w:rPr>
          <w:rtl/>
        </w:rPr>
        <w:t xml:space="preserve"> </w:t>
      </w:r>
      <w:proofErr w:type="spellStart"/>
      <w:r w:rsidRPr="0092555B">
        <w:rPr>
          <w:rtl/>
        </w:rPr>
        <w:t>القصة،دار</w:t>
      </w:r>
      <w:proofErr w:type="spellEnd"/>
      <w:r w:rsidRPr="0092555B">
        <w:rPr>
          <w:rtl/>
        </w:rPr>
        <w:t xml:space="preserve"> </w:t>
      </w:r>
      <w:proofErr w:type="gramStart"/>
      <w:r w:rsidRPr="0092555B">
        <w:rPr>
          <w:rtl/>
        </w:rPr>
        <w:t>بيروت(</w:t>
      </w:r>
      <w:proofErr w:type="gramEnd"/>
      <w:r w:rsidRPr="0092555B">
        <w:rPr>
          <w:rtl/>
        </w:rPr>
        <w:t>لبنان)،دط،1955،ص.8</w:t>
      </w:r>
    </w:p>
    <w:bookmarkStart w:id="34" w:name="_ftn16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"_ftnref16"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[16]</w:t>
      </w:r>
      <w:r w:rsidRPr="0092555B">
        <w:rPr>
          <w:rtl/>
        </w:rPr>
        <w:fldChar w:fldCharType="end"/>
      </w:r>
      <w:bookmarkEnd w:id="34"/>
      <w:r w:rsidRPr="0092555B">
        <w:t> </w:t>
      </w:r>
      <w:r w:rsidRPr="0092555B">
        <w:rPr>
          <w:rtl/>
        </w:rPr>
        <w:t xml:space="preserve">حاتم </w:t>
      </w:r>
      <w:proofErr w:type="spellStart"/>
      <w:r w:rsidRPr="0092555B">
        <w:rPr>
          <w:rtl/>
        </w:rPr>
        <w:t>السالمي،في</w:t>
      </w:r>
      <w:proofErr w:type="spellEnd"/>
      <w:r w:rsidRPr="0092555B">
        <w:rPr>
          <w:rtl/>
        </w:rPr>
        <w:t xml:space="preserve"> صلة الأقصوصة بالأجناس الأدبيّة القريبة </w:t>
      </w:r>
      <w:proofErr w:type="spellStart"/>
      <w:r w:rsidRPr="0092555B">
        <w:rPr>
          <w:rtl/>
        </w:rPr>
        <w:t>منها،مجلة</w:t>
      </w:r>
      <w:proofErr w:type="spellEnd"/>
      <w:r w:rsidRPr="0092555B">
        <w:rPr>
          <w:rtl/>
        </w:rPr>
        <w:t xml:space="preserve"> الخطاب،ع18،2014،ص.166</w:t>
      </w:r>
    </w:p>
    <w:bookmarkStart w:id="35" w:name="_ftn17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"_ftnref17"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[17]</w:t>
      </w:r>
      <w:r w:rsidRPr="0092555B">
        <w:rPr>
          <w:rtl/>
        </w:rPr>
        <w:fldChar w:fldCharType="end"/>
      </w:r>
      <w:bookmarkEnd w:id="35"/>
      <w:r w:rsidRPr="0092555B">
        <w:t> </w:t>
      </w:r>
      <w:r w:rsidRPr="0092555B">
        <w:rPr>
          <w:rtl/>
        </w:rPr>
        <w:t xml:space="preserve">عمر </w:t>
      </w:r>
      <w:proofErr w:type="spellStart"/>
      <w:r w:rsidRPr="0092555B">
        <w:rPr>
          <w:rtl/>
        </w:rPr>
        <w:t>الدسوقي،المسرحية</w:t>
      </w:r>
      <w:proofErr w:type="spellEnd"/>
      <w:r w:rsidRPr="0092555B">
        <w:rPr>
          <w:rtl/>
        </w:rPr>
        <w:t xml:space="preserve"> نشأتها وتاريخها وأصولها،</w:t>
      </w:r>
      <w:r w:rsidRPr="0092555B">
        <w:rPr>
          <w:rtl/>
          <w:lang w:bidi="ar-DZ"/>
        </w:rPr>
        <w:t xml:space="preserve">صفحة </w:t>
      </w:r>
      <w:proofErr w:type="gramStart"/>
      <w:r w:rsidRPr="0092555B">
        <w:rPr>
          <w:rtl/>
          <w:lang w:bidi="ar-DZ"/>
        </w:rPr>
        <w:t>المقدّمة .</w:t>
      </w:r>
      <w:proofErr w:type="gramEnd"/>
    </w:p>
    <w:bookmarkStart w:id="36" w:name="_ftn18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"_ftnref18"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[18]</w:t>
      </w:r>
      <w:r w:rsidRPr="0092555B">
        <w:rPr>
          <w:rtl/>
        </w:rPr>
        <w:fldChar w:fldCharType="end"/>
      </w:r>
      <w:bookmarkEnd w:id="36"/>
      <w:r w:rsidRPr="0092555B">
        <w:t> </w:t>
      </w:r>
      <w:r w:rsidRPr="0092555B">
        <w:rPr>
          <w:rtl/>
        </w:rPr>
        <w:t xml:space="preserve">محمد يوسف </w:t>
      </w:r>
      <w:proofErr w:type="spellStart"/>
      <w:r w:rsidRPr="0092555B">
        <w:rPr>
          <w:rtl/>
        </w:rPr>
        <w:t>نجم،فن</w:t>
      </w:r>
      <w:proofErr w:type="spellEnd"/>
      <w:r w:rsidRPr="0092555B">
        <w:rPr>
          <w:rtl/>
        </w:rPr>
        <w:t xml:space="preserve"> </w:t>
      </w:r>
      <w:proofErr w:type="spellStart"/>
      <w:r w:rsidRPr="0092555B">
        <w:rPr>
          <w:rtl/>
        </w:rPr>
        <w:t>المقالة،دار</w:t>
      </w:r>
      <w:proofErr w:type="spellEnd"/>
      <w:r w:rsidRPr="0092555B">
        <w:rPr>
          <w:rtl/>
        </w:rPr>
        <w:t xml:space="preserve"> </w:t>
      </w:r>
      <w:proofErr w:type="gramStart"/>
      <w:r w:rsidRPr="0092555B">
        <w:rPr>
          <w:rtl/>
        </w:rPr>
        <w:t>الثقافة(</w:t>
      </w:r>
      <w:proofErr w:type="gramEnd"/>
      <w:r w:rsidRPr="0092555B">
        <w:rPr>
          <w:rtl/>
        </w:rPr>
        <w:t>لبنان)،ط4،1966،</w:t>
      </w:r>
      <w:r w:rsidRPr="0092555B">
        <w:rPr>
          <w:rtl/>
          <w:lang w:bidi="ar-DZ"/>
        </w:rPr>
        <w:t>ص.95</w:t>
      </w:r>
    </w:p>
    <w:bookmarkStart w:id="37" w:name="_ftn19"/>
    <w:p w:rsidR="0092555B" w:rsidRPr="0092555B" w:rsidRDefault="0092555B" w:rsidP="0092555B">
      <w:pPr>
        <w:bidi/>
        <w:rPr>
          <w:rtl/>
        </w:rPr>
      </w:pPr>
      <w:r w:rsidRPr="0092555B">
        <w:rPr>
          <w:rtl/>
        </w:rPr>
        <w:fldChar w:fldCharType="begin"/>
      </w:r>
      <w:r w:rsidRPr="0092555B">
        <w:rPr>
          <w:rtl/>
        </w:rPr>
        <w:instrText xml:space="preserve"> </w:instrText>
      </w:r>
      <w:r w:rsidRPr="0092555B">
        <w:instrText>HYPERLINK "file:///C:\\Users\\DELL\\Desktop\\%D9%86%D9%82%D8%AF%20%D8%A7%D9%84%D9%86%D8%AB%D8%B1%20%D8%A7%D9%84%D8%B9%D8%B1%D8%A8%D9%8A%20%D8%A7%D9%84%D8%AD%D8%AF%D9%8A%D8%AB%20%D9%88%D8%A7%D9%84%D9%85%D8%B9%D8%A7%D8%B5%D8%B1.docx" \l "_ftnref19" \o</w:instrText>
      </w:r>
      <w:r w:rsidRPr="0092555B">
        <w:rPr>
          <w:rtl/>
        </w:rPr>
        <w:instrText xml:space="preserve"> "" </w:instrText>
      </w:r>
      <w:r w:rsidRPr="0092555B">
        <w:rPr>
          <w:rtl/>
        </w:rPr>
        <w:fldChar w:fldCharType="separate"/>
      </w:r>
      <w:r w:rsidRPr="0092555B">
        <w:rPr>
          <w:rStyle w:val="Lienhypertexte"/>
        </w:rPr>
        <w:t>[19]</w:t>
      </w:r>
      <w:r w:rsidRPr="0092555B">
        <w:rPr>
          <w:rtl/>
        </w:rPr>
        <w:fldChar w:fldCharType="end"/>
      </w:r>
      <w:bookmarkEnd w:id="37"/>
      <w:r w:rsidRPr="0092555B">
        <w:t> </w:t>
      </w:r>
      <w:r w:rsidRPr="0092555B">
        <w:rPr>
          <w:rtl/>
        </w:rPr>
        <w:t>السيرة الذاتية الميثاق والتاريخ الأدبي، تر وتق: عمر حلي ، المركز الثقافي العربي</w:t>
      </w:r>
      <w:proofErr w:type="gramStart"/>
      <w:r w:rsidRPr="0092555B">
        <w:rPr>
          <w:rtl/>
        </w:rPr>
        <w:t>،(</w:t>
      </w:r>
      <w:proofErr w:type="gramEnd"/>
      <w:r w:rsidRPr="0092555B">
        <w:rPr>
          <w:rtl/>
        </w:rPr>
        <w:t>لبنان-المغرب)، ط1، 1994، ص.22</w:t>
      </w:r>
    </w:p>
    <w:p w:rsidR="004D2DB4" w:rsidRDefault="004D2DB4" w:rsidP="0092555B">
      <w:pPr>
        <w:bidi/>
      </w:pPr>
    </w:p>
    <w:sectPr w:rsidR="004D2D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54"/>
    <w:rsid w:val="004D2DB4"/>
    <w:rsid w:val="0092555B"/>
    <w:rsid w:val="00B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2367</Words>
  <Characters>13023</Characters>
  <Application>Microsoft Office Word</Application>
  <DocSecurity>0</DocSecurity>
  <Lines>108</Lines>
  <Paragraphs>30</Paragraphs>
  <ScaleCrop>false</ScaleCrop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2</cp:revision>
  <dcterms:created xsi:type="dcterms:W3CDTF">2022-12-02T14:14:00Z</dcterms:created>
  <dcterms:modified xsi:type="dcterms:W3CDTF">2022-12-02T14:14:00Z</dcterms:modified>
</cp:coreProperties>
</file>